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left"/>
      </w:pPr>
      <w:r>
        <w:rPr>
          <w:rFonts w:ascii="Book Antiqua" w:hAnsi="Book Antiqua"/>
          <w:b/>
          <w:sz w:val="28"/>
          <w:szCs w:val="28"/>
        </w:rPr>
        <w:t xml:space="preserve">MARCO VITALE </w:t>
      </w:r>
    </w:p>
    <w:p>
      <w:pPr>
        <w:pStyle w:val="style0"/>
        <w:jc w:val="left"/>
      </w:pPr>
      <w:r>
        <w:rPr>
          <w:rFonts w:ascii="Book Antiqua" w:hAnsi="Book Antiqua"/>
          <w:b/>
          <w:sz w:val="28"/>
          <w:szCs w:val="28"/>
        </w:rPr>
        <w:t>Intervento in occasione della presentazione del libro</w:t>
      </w:r>
    </w:p>
    <w:p>
      <w:pPr>
        <w:pStyle w:val="style0"/>
        <w:jc w:val="left"/>
      </w:pPr>
      <w:r>
        <w:rPr>
          <w:rFonts w:ascii="Book Antiqua" w:hAnsi="Book Antiqua"/>
          <w:b/>
          <w:sz w:val="28"/>
          <w:szCs w:val="28"/>
        </w:rPr>
        <w:t>BANCHE POPOLARI, CREDITO COOPERATIVO,</w:t>
      </w:r>
    </w:p>
    <w:p>
      <w:pPr>
        <w:pStyle w:val="style0"/>
        <w:jc w:val="left"/>
      </w:pPr>
      <w:r>
        <w:rPr>
          <w:rFonts w:ascii="Book Antiqua" w:hAnsi="Book Antiqua"/>
          <w:b/>
          <w:sz w:val="28"/>
          <w:szCs w:val="28"/>
        </w:rPr>
        <w:t>ECONOMIA REALE E COSTITUZIONE</w:t>
      </w:r>
    </w:p>
    <w:p>
      <w:pPr>
        <w:pStyle w:val="style0"/>
        <w:jc w:val="left"/>
      </w:pPr>
      <w:r>
        <w:rPr>
          <w:rFonts w:ascii="Book Antiqua" w:hAnsi="Book Antiqua"/>
          <w:b/>
          <w:sz w:val="28"/>
          <w:szCs w:val="28"/>
        </w:rPr>
        <w:t>(con prefazione di Stefano Zamagni)</w:t>
      </w:r>
    </w:p>
    <w:p>
      <w:pPr>
        <w:pStyle w:val="style0"/>
        <w:jc w:val="left"/>
      </w:pPr>
      <w:r>
        <w:rPr>
          <w:rFonts w:ascii="Book Antiqua" w:hAnsi="Book Antiqua"/>
          <w:b/>
          <w:sz w:val="28"/>
          <w:szCs w:val="28"/>
        </w:rPr>
        <w:t xml:space="preserve">ed. Rubbettino, </w:t>
      </w:r>
    </w:p>
    <w:p>
      <w:pPr>
        <w:pStyle w:val="style0"/>
        <w:jc w:val="left"/>
      </w:pPr>
      <w:r>
        <w:rPr>
          <w:rFonts w:ascii="Book Antiqua" w:hAnsi="Book Antiqua"/>
          <w:b/>
          <w:sz w:val="28"/>
          <w:szCs w:val="28"/>
        </w:rPr>
        <w:t>Circolo della Stampa Milano</w:t>
      </w:r>
    </w:p>
    <w:p>
      <w:pPr>
        <w:pStyle w:val="style0"/>
        <w:jc w:val="left"/>
      </w:pPr>
      <w:r>
        <w:rPr>
          <w:rFonts w:ascii="Book Antiqua" w:hAnsi="Book Antiqua"/>
          <w:b/>
          <w:sz w:val="28"/>
          <w:szCs w:val="28"/>
        </w:rPr>
        <w:t>4 febbraio 2016</w:t>
      </w:r>
    </w:p>
    <w:p>
      <w:pPr>
        <w:pStyle w:val="style0"/>
        <w:jc w:val="center"/>
      </w:pPr>
      <w:r>
        <w:rPr/>
      </w:r>
    </w:p>
    <w:p>
      <w:pPr>
        <w:pStyle w:val="style0"/>
        <w:jc w:val="both"/>
      </w:pPr>
      <w:r>
        <w:rPr>
          <w:rFonts w:ascii="Book Antiqua" w:hAnsi="Book Antiqua"/>
        </w:rPr>
        <w:t xml:space="preserve">In una serata dell’APE nel corso degli anni ’90 del novecento avemmo come ospite d’onore un grande banchiere inglese. Questo illustrò e magnificò il sistema bancario inglese con le sue grandi banche e concluse con queste parole: “ </w:t>
      </w:r>
      <w:r>
        <w:rPr>
          <w:rFonts w:ascii="Book Antiqua" w:hAnsi="Book Antiqua"/>
          <w:i/>
        </w:rPr>
        <w:t>Quello che manca a noi è il vostro magnifico sistema di banche territoriali e soprattutto le banche popolari che svolgono un lavoro di raccordo prezioso tra mercati finanziari, risparmi, imprese minori, famiglie e che arricchiscono, con la loro presenza, il tessuto socio-economico dei territori in cui  operano.  Tenetevelo caro questo sistema”.</w:t>
      </w:r>
    </w:p>
    <w:p>
      <w:pPr>
        <w:pStyle w:val="style0"/>
        <w:jc w:val="both"/>
      </w:pPr>
      <w:r>
        <w:rPr>
          <w:rFonts w:ascii="Book Antiqua" w:hAnsi="Book Antiqua"/>
        </w:rPr>
        <w:t>Ora questo sistema del credito cooperativo è oggetto di un forsennato attacco, orchestrato in primo luogo dalla Banca d’Italia, che trova come braccio operativo il presidente del consiglio che motiva le ragioni dell’attacco con queste parole in televisione il 20 gennaio 2016 e riportate da un’agenzia stampa come segue:</w:t>
      </w:r>
    </w:p>
    <w:p>
      <w:pPr>
        <w:pStyle w:val="style0"/>
        <w:jc w:val="both"/>
      </w:pPr>
      <w:r>
        <w:rPr>
          <w:rFonts w:ascii="Book Antiqua" w:hAnsi="Book Antiqua"/>
          <w:i/>
        </w:rPr>
        <w:t xml:space="preserve">Roma, 21 gen. (askanews) - In Italia ci sono «troppe banche» e il decreto sulle popolari dell'anno scorso serve proprio a razionalizzare il sistema, nella stessa direzione indicata da Carlo Azeglio Ciampi e Mario Draghi, quando erano al Tesoro nel 1998. Parlando a Porta a Porta, il premier Matteo Renzi ha spiegato: «Il punto vero è che in italia ci sono troppe banche».  </w:t>
      </w:r>
      <w:r>
        <w:rPr/>
        <w:t>“</w:t>
      </w:r>
      <w:r>
        <w:rPr>
          <w:rFonts w:ascii="Book Antiqua" w:hAnsi="Book Antiqua"/>
          <w:i/>
        </w:rPr>
        <w:t>In passato - ha aggiunto - si è consentito di fare troppe banche, una volta la banchetta di paese aveva un senso - le banche di credito cooperativo vanno bene ma credo sia utile che siano solide e che stiano insieme - ma tante altre banche, in particolar modo le popolari, sono sempre state lasciate in una situazione in cui non contava chi metteva i soldi. Il nostro governo l'anno scorso ha fatto un decreto per dire: basta con questo giochino, si portano in Borsa. L'ultimo che tentò di fare questa operazione senza riuscirvi fu Ciampi, insieme a Draghi, quando era al Tesoro nel 1998. Non ci riuscirono perché mancarono i voti in Parlamento, noi li abbiamo vendicati».</w:t>
      </w:r>
    </w:p>
    <w:p>
      <w:pPr>
        <w:pStyle w:val="style0"/>
        <w:jc w:val="both"/>
      </w:pPr>
      <w:r>
        <w:rPr>
          <w:rFonts w:ascii="Book Antiqua" w:hAnsi="Book Antiqua"/>
        </w:rPr>
        <w:t xml:space="preserve">(Il video dell’intervento del presidente del consiglio è visibile su internet a questo indirizzo (al minuto 23 e 30”) : </w:t>
      </w:r>
      <w:hyperlink r:id="rId2">
        <w:r>
          <w:rPr>
            <w:rStyle w:val="style16"/>
            <w:rStyle w:val="style16"/>
            <w:rFonts w:ascii="Book Antiqua" w:hAnsi="Book Antiqua"/>
          </w:rPr>
          <w:t>http://www.portaaporta.rai.it/puntata/matteo-renzi-a-porta-a-porta-2/</w:t>
        </w:r>
      </w:hyperlink>
    </w:p>
    <w:p>
      <w:pPr>
        <w:pStyle w:val="style0"/>
        <w:jc w:val="both"/>
      </w:pPr>
      <w:r>
        <w:rPr>
          <w:rFonts w:ascii="Book Antiqua" w:hAnsi="Book Antiqua"/>
        </w:rPr>
        <w:t xml:space="preserve">La “riforma” (ma non si tratta di riforma) del credito cooperativo come vendetta. Ben detto! Gliela “faremo” vedere noi! </w:t>
      </w:r>
    </w:p>
    <w:p>
      <w:pPr>
        <w:pStyle w:val="style0"/>
        <w:jc w:val="both"/>
      </w:pPr>
      <w:r>
        <w:rPr>
          <w:rFonts w:ascii="Book Antiqua" w:hAnsi="Book Antiqua"/>
        </w:rPr>
        <w:t xml:space="preserve">Così, con queste “chiacchiere da caffè” (copyright Mario Monti) si liquida una delle esperienze più significative della storia finanziaria e della democrazia economica italiana. Per quanto mi riguarda è un senso di indignazione intellettuale contro questo modo superficiale di pensare e di operare mescolato ad un autentico sentimento di paura per le conseguenze dello stesso che mi hanno portato a battermi contro un provvedimento di plateale incostituzionalità, come decine di illustri costituzionalisti hanno sostenuto e come il Prof. Fausto Capelli illustrerà. Il libro che oggi presentiamo è frutto di analoghi sentimenti condivisi da parte di un qualificato gruppo di esperti che elenco in allegato. Se un gruppetto ristretto di loro ha steso il testo, esso è frutto del contributo collettivo di tutto il Gruppo. </w:t>
      </w:r>
    </w:p>
    <w:p>
      <w:pPr>
        <w:pStyle w:val="style0"/>
        <w:jc w:val="both"/>
      </w:pPr>
      <w:r>
        <w:rPr>
          <w:rFonts w:ascii="Book Antiqua" w:hAnsi="Book Antiqua"/>
        </w:rPr>
        <w:t>Il testo analizza a fondo e con onestà intellettuale tutti i principali temi sul tavolo.</w:t>
      </w:r>
    </w:p>
    <w:p>
      <w:pPr>
        <w:pStyle w:val="style0"/>
        <w:jc w:val="both"/>
      </w:pPr>
      <w:r>
        <w:rPr>
          <w:rFonts w:ascii="Book Antiqua" w:hAnsi="Book Antiqua"/>
        </w:rPr>
        <w:t xml:space="preserve">Io voglio sottolineare solo alcuni punti centrali e generali. Il provvedimento impugnato non è, come qualcuno ha detto, un provvedimento che tocca solo alcune grandi popolari. Esso attacca alla radice il “genus” delle banche popolari, ponendo un tetto alla loro crescita (alla faccia dell’articolo 41 della Costituzione: “L’iniziativa economica privata è libera non può svolgersi in contrasto con l’utilità sociale o in modo da arrecare danno alla sicurezza, alla libertà, alla dignità umana”), intaccando le radici del principio fondamentale del voto capitario, le caratteristiche, l’essenza del credito cooperativo come alternativa al sistema capitalistico puro. Il provvedimento non è qualcosa che interessa solo il mondo delle popolari e più in generale del credito cooperativo. E’ qualcosa  che pone sul tavolo, con vigore, un tema generale che interessa tutta l’economia e la società italiana. Dobbiamo forse prendere atto che l’economia italiana ritorna ad essere dirigista e bonapartista come ai tempi di Mussolini e che la parentesi costituzionale di un sistema articolato, bilanciato, ma sostanzialmente libero è finita? Questa è la domanda centrale che solleva questo provvedimento e il, invero scarso e manipolato, dibattito ad esso connesso. Con una differenza: negli anni trenta del novecento il direttore d’orchestra dell’economia italiana si chiamava Beneduce, persona competentissima ed integerrima, mentre i direttori di oggi sono personaggi che approvano come Italia le nuove norme del “bail in”, non si rendono conto del caos che l’affrettata applicazione di queste norme avrebbe creato, non fanno nulla, assolutamente nulla, per preparare la popolazione a questo drastico cambiamento e, venti giorni dopo l’entrata in vigore, sotto la pressione della piazza, chiedono, loro  coautori e firmatari delle norme, una modifica delle stesse, ricevendo dalle autorità europee un ennesimo e giusto diniego, un ennesimo schiaffo in faccia che umilia il nostro Paese. </w:t>
      </w:r>
    </w:p>
    <w:p>
      <w:pPr>
        <w:pStyle w:val="style0"/>
        <w:jc w:val="both"/>
      </w:pPr>
      <w:r>
        <w:rPr>
          <w:rFonts w:ascii="Book Antiqua" w:hAnsi="Book Antiqua"/>
        </w:rPr>
        <w:t>Un trucco retorico ampiamente usato da Banca d’Italia e nella memoria difensiva sia di Banca d’Italia che della Avvocatura dello Stato, è quello di fare riferimento a non identificate necessità che deriverebbero dalla legislazione europea o da richieste di enti internazionali.</w:t>
      </w:r>
    </w:p>
    <w:p>
      <w:pPr>
        <w:pStyle w:val="style0"/>
        <w:jc w:val="both"/>
      </w:pPr>
      <w:r>
        <w:rPr>
          <w:rFonts w:ascii="Book Antiqua" w:hAnsi="Book Antiqua"/>
        </w:rPr>
        <w:t xml:space="preserve">Ad esempio si cita l’entrata in vigore della Vigilanza europea e del “bail in” come ragioni dell’intervento sulle popolari. Ma si tratta di cose completamente diverse e pacificamente applicabili alle banche popolari, a prescindere. In tutti i testi aleggia una specie di misterioso: “Ce lo chiede l’Europa”. Ma quale Europa? Anche Francoforte è in Europa ma le istituzioni democratiche che rilevano e che rappresentano l’Unione Europea non sono a Francoforte. </w:t>
      </w:r>
    </w:p>
    <w:p>
      <w:pPr>
        <w:pStyle w:val="style0"/>
        <w:jc w:val="both"/>
      </w:pPr>
      <w:r>
        <w:rPr>
          <w:rFonts w:ascii="Book Antiqua" w:hAnsi="Book Antiqua"/>
        </w:rPr>
        <w:t>Per uscire da questa grande incertezza chiediamo: quale specifica norma o disposizione regolamentare delle istituzioni politiche e legislative europee stabilisce che il credito cooperativo ed il voto capitario vanno cancellati? E’ vero che il singolo provvedimento impugnato non cancella le popolari. Ma abbiamo illustrato, con il supporto di studiosi seri, che, in prospettiva, questo è l’obiettivo e questo sarà l’effetto. Del resto ciò è stato illustrato in tante sedi dai vertici di Banca d’Italia ed  è chiarito sin dalle prime parole della memoria difensiva di Banca d’Italia quando, a pag. 3 della stessa, si afferma che la riforma in parola “</w:t>
      </w:r>
      <w:r>
        <w:rPr>
          <w:rFonts w:ascii="Book Antiqua" w:hAnsi="Book Antiqua"/>
          <w:i/>
        </w:rPr>
        <w:t xml:space="preserve">prende in considerazione le banche popolari quale modello da riportare alla logica di mercato” </w:t>
      </w:r>
      <w:r>
        <w:rPr>
          <w:rFonts w:ascii="Book Antiqua" w:hAnsi="Book Antiqua"/>
        </w:rPr>
        <w:t xml:space="preserve">(si intende sotto il profilo del voto capitario). E questo è tutto. Chiediamo ci venga indicata una norma europea che faccia chiarezza su questo punto centrale. Altrimenti, si tratta di una semplice impostazione ideologica e politica portata avanti da alcuni tecnici, privi di una base istituzionale, culturale, politica, legislativa. </w:t>
      </w:r>
    </w:p>
    <w:p>
      <w:pPr>
        <w:pStyle w:val="style0"/>
        <w:jc w:val="both"/>
      </w:pPr>
      <w:r>
        <w:rPr>
          <w:rFonts w:ascii="Book Antiqua" w:hAnsi="Book Antiqua"/>
        </w:rPr>
        <w:t xml:space="preserve">E come conciliare questa </w:t>
      </w:r>
      <w:r>
        <w:rPr>
          <w:rFonts w:ascii="Book Antiqua" w:hAnsi="Book Antiqua"/>
          <w:u w:val="single"/>
        </w:rPr>
        <w:t xml:space="preserve">favola dell’Europa che lo chiede </w:t>
      </w:r>
      <w:r>
        <w:rPr>
          <w:rFonts w:ascii="Book Antiqua" w:hAnsi="Book Antiqua"/>
        </w:rPr>
        <w:t>con le affermazioni del CESE, il Comitato economico e sociale europeo che, in data tre febbraio 2015, ha formulato il suo parere su: “</w:t>
      </w:r>
      <w:r>
        <w:rPr>
          <w:rFonts w:ascii="Book Antiqua" w:hAnsi="Book Antiqua"/>
          <w:i/>
        </w:rPr>
        <w:t>Il ruolo delle banche cooperative e delle casse di risparmio nella coesione territoriale – proposte per un quadro di regolamentazione finanziaria adottato”</w:t>
      </w:r>
      <w:r>
        <w:rPr>
          <w:rFonts w:ascii="Book Antiqua" w:hAnsi="Book Antiqua"/>
        </w:rPr>
        <w:t>. Il parere è stato approvato nella sessione plenaria dei giorni 18 e 19 febbraio 2015, con 153 voti favorevoli, 2 voti contrari e 10 astensioni.  In esso si afferma tra l’altro:</w:t>
      </w:r>
    </w:p>
    <w:p>
      <w:pPr>
        <w:pStyle w:val="style34"/>
      </w:pPr>
      <w:r>
        <w:rPr>
          <w:rFonts w:ascii="Book Antiqua" w:hAnsi="Book Antiqua"/>
          <w:sz w:val="22"/>
          <w:szCs w:val="22"/>
        </w:rPr>
        <w:t>1.</w:t>
        <w:tab/>
        <w:t>“Conclusioni e raccomandazioni</w:t>
      </w:r>
    </w:p>
    <w:p>
      <w:pPr>
        <w:pStyle w:val="style0"/>
        <w:tabs>
          <w:tab w:leader="none" w:pos="397" w:val="left"/>
          <w:tab w:leader="none" w:pos="708" w:val="left"/>
          <w:tab w:leader="none" w:pos="851" w:val="left"/>
        </w:tabs>
        <w:jc w:val="both"/>
      </w:pPr>
      <w:r>
        <w:rPr>
          <w:rStyle w:val="style19"/>
          <w:rFonts w:ascii="Book Antiqua" w:cs="Times New Roman" w:eastAsia="Calibri" w:hAnsi="Book Antiqua"/>
          <w:spacing w:val="-2"/>
          <w:sz w:val="22"/>
          <w:szCs w:val="22"/>
        </w:rPr>
        <w:t>1.1.</w:t>
      </w:r>
      <w:r>
        <w:rPr>
          <w:rStyle w:val="style19"/>
          <w:rFonts w:ascii="Book Antiqua" w:hAnsi="Book Antiqua"/>
          <w:spacing w:val="-2"/>
          <w:sz w:val="22"/>
          <w:szCs w:val="22"/>
        </w:rPr>
        <w:t xml:space="preserve"> </w:t>
      </w:r>
      <w:r>
        <w:rPr>
          <w:rStyle w:val="style19"/>
          <w:rFonts w:ascii="Book Antiqua" w:cs="Times New Roman" w:eastAsia="Calibri" w:hAnsi="Book Antiqua"/>
          <w:spacing w:val="-2"/>
          <w:sz w:val="22"/>
          <w:szCs w:val="22"/>
        </w:rPr>
        <w:t xml:space="preserve">Il CESE ritiene che, nella transizione verso nuovi modelli di attività bancaria </w:t>
      </w:r>
      <w:r>
        <w:rPr>
          <w:rStyle w:val="style19"/>
          <w:rFonts w:ascii="Book Antiqua" w:cs="Times New Roman" w:eastAsia="Calibri" w:hAnsi="Book Antiqua"/>
          <w:i/>
          <w:iCs/>
          <w:spacing w:val="-2"/>
          <w:sz w:val="22"/>
          <w:szCs w:val="22"/>
        </w:rPr>
        <w:t xml:space="preserve">(new banking </w:t>
      </w:r>
      <w:r>
        <w:rPr>
          <w:rStyle w:val="style19"/>
          <w:rFonts w:ascii="Book Antiqua" w:cs="Times New Roman" w:eastAsia="Calibri" w:hAnsi="Book Antiqua"/>
          <w:i/>
          <w:iCs/>
          <w:spacing w:val="1"/>
          <w:sz w:val="22"/>
          <w:szCs w:val="22"/>
        </w:rPr>
        <w:t xml:space="preserve">business model) </w:t>
      </w:r>
      <w:r>
        <w:rPr>
          <w:rStyle w:val="style19"/>
          <w:rFonts w:ascii="Book Antiqua" w:cs="Times New Roman" w:eastAsia="Calibri" w:hAnsi="Book Antiqua"/>
          <w:spacing w:val="1"/>
          <w:sz w:val="22"/>
          <w:szCs w:val="22"/>
        </w:rPr>
        <w:t xml:space="preserve">e non bancaria di natura finanziaria, sia indispensabile preservare la </w:t>
      </w:r>
      <w:r>
        <w:rPr>
          <w:rStyle w:val="style19"/>
          <w:rFonts w:ascii="Book Antiqua" w:cs="Times New Roman" w:eastAsia="Calibri" w:hAnsi="Book Antiqua"/>
          <w:sz w:val="22"/>
          <w:szCs w:val="22"/>
        </w:rPr>
        <w:t>"biodiversità" del</w:t>
      </w:r>
      <w:r>
        <w:rPr>
          <w:rStyle w:val="style19"/>
          <w:rFonts w:ascii="Book Antiqua" w:cs="Times New Roman" w:eastAsia="Calibri" w:hAnsi="Book Antiqua"/>
          <w:sz w:val="22"/>
          <w:szCs w:val="22"/>
          <w:vertAlign w:val="superscript"/>
        </w:rPr>
        <w:t xml:space="preserve"> </w:t>
      </w:r>
      <w:r>
        <w:rPr>
          <w:rStyle w:val="style19"/>
          <w:rFonts w:ascii="Book Antiqua" w:cs="Times New Roman" w:eastAsia="Calibri" w:hAnsi="Book Antiqua"/>
          <w:sz w:val="22"/>
          <w:szCs w:val="22"/>
        </w:rPr>
        <w:t>sistema finanziario, senza che questo implichi, arbitrarietà nell'applicazione</w:t>
      </w:r>
      <w:r>
        <w:rPr>
          <w:rStyle w:val="style19"/>
          <w:rFonts w:ascii="Book Antiqua" w:cs="Times New Roman" w:eastAsia="Calibri" w:hAnsi="Book Antiqua"/>
          <w:i/>
          <w:iCs/>
          <w:spacing w:val="1"/>
          <w:sz w:val="22"/>
          <w:szCs w:val="22"/>
        </w:rPr>
        <w:t xml:space="preserve"> </w:t>
      </w:r>
      <w:r>
        <w:rPr>
          <w:rStyle w:val="style19"/>
          <w:rFonts w:ascii="Book Antiqua" w:cs="Times New Roman" w:eastAsia="Calibri" w:hAnsi="Book Antiqua"/>
          <w:spacing w:val="-7"/>
          <w:sz w:val="22"/>
          <w:szCs w:val="22"/>
        </w:rPr>
        <w:t>delle norme.</w:t>
      </w:r>
    </w:p>
    <w:p>
      <w:pPr>
        <w:pStyle w:val="style0"/>
        <w:jc w:val="both"/>
      </w:pPr>
      <w:r>
        <w:rPr/>
      </w:r>
    </w:p>
    <w:p>
      <w:pPr>
        <w:pStyle w:val="style34"/>
      </w:pPr>
      <w:r>
        <w:rPr>
          <w:rStyle w:val="style19"/>
          <w:rFonts w:ascii="Book Antiqua" w:hAnsi="Book Antiqua"/>
          <w:sz w:val="22"/>
          <w:szCs w:val="22"/>
        </w:rPr>
        <w:t>2. Le banche cooperative e le casse di risparmio nel contesto finanziario europeo</w:t>
      </w:r>
    </w:p>
    <w:p>
      <w:pPr>
        <w:pStyle w:val="style34"/>
      </w:pPr>
      <w:r>
        <w:rPr/>
      </w:r>
    </w:p>
    <w:p>
      <w:pPr>
        <w:pStyle w:val="style0"/>
        <w:tabs>
          <w:tab w:leader="none" w:pos="397" w:val="left"/>
          <w:tab w:leader="none" w:pos="708" w:val="left"/>
          <w:tab w:leader="none" w:pos="851" w:val="left"/>
        </w:tabs>
        <w:jc w:val="both"/>
      </w:pPr>
      <w:r>
        <w:rPr>
          <w:rStyle w:val="style20"/>
          <w:rFonts w:ascii="Book Antiqua" w:hAnsi="Book Antiqua"/>
          <w:bCs/>
          <w:spacing w:val="-4"/>
          <w:sz w:val="24"/>
          <w:szCs w:val="24"/>
        </w:rPr>
        <w:t xml:space="preserve">2.1. </w:t>
      </w:r>
      <w:r>
        <w:rPr>
          <w:rStyle w:val="style20"/>
          <w:rFonts w:ascii="Book Antiqua" w:cs="Times New Roman" w:eastAsia="Calibri" w:hAnsi="Book Antiqua"/>
          <w:bCs/>
          <w:spacing w:val="-4"/>
          <w:sz w:val="22"/>
          <w:szCs w:val="22"/>
        </w:rPr>
        <w:t xml:space="preserve">Le casse di risparmio e le banche cooperative hanno storicamente svolto un ruolo chiave nello </w:t>
      </w:r>
      <w:r>
        <w:rPr>
          <w:rStyle w:val="style20"/>
          <w:rFonts w:ascii="Book Antiqua" w:cs="Times New Roman" w:eastAsia="Calibri" w:hAnsi="Book Antiqua"/>
          <w:bCs/>
          <w:sz w:val="22"/>
          <w:szCs w:val="22"/>
        </w:rPr>
        <w:t xml:space="preserve">sviluppo dell'economia, in particolare nel sostenere l’agricoltura, la piccola industria e il </w:t>
      </w:r>
      <w:r>
        <w:rPr>
          <w:rStyle w:val="style20"/>
          <w:rFonts w:ascii="Book Antiqua" w:cs="Times New Roman" w:eastAsia="Calibri" w:hAnsi="Book Antiqua"/>
          <w:bCs/>
          <w:spacing w:val="-2"/>
          <w:sz w:val="22"/>
          <w:szCs w:val="22"/>
        </w:rPr>
        <w:t xml:space="preserve">commercio. Attualmente esse rappresentano circa il 40% del settore finanziario dell'Unione </w:t>
      </w:r>
      <w:r>
        <w:rPr>
          <w:rStyle w:val="style20"/>
          <w:rFonts w:ascii="Book Antiqua" w:cs="Times New Roman" w:eastAsia="Calibri" w:hAnsi="Book Antiqua"/>
          <w:bCs/>
          <w:spacing w:val="-1"/>
          <w:sz w:val="22"/>
          <w:szCs w:val="22"/>
        </w:rPr>
        <w:t xml:space="preserve">europea (in Francia </w:t>
      </w:r>
      <w:r>
        <w:rPr>
          <w:rStyle w:val="style20"/>
          <w:rFonts w:ascii="Book Antiqua" w:cs="Times New Roman" w:eastAsia="Calibri" w:hAnsi="Book Antiqua"/>
          <w:bCs/>
          <w:spacing w:val="-6"/>
          <w:sz w:val="22"/>
          <w:szCs w:val="22"/>
        </w:rPr>
        <w:t>raggiungono</w:t>
      </w:r>
      <w:r>
        <w:rPr>
          <w:rStyle w:val="style20"/>
          <w:rFonts w:ascii="Book Antiqua" w:cs="Times New Roman" w:eastAsia="Calibri" w:hAnsi="Book Antiqua"/>
          <w:bCs/>
          <w:spacing w:val="-1"/>
          <w:sz w:val="22"/>
          <w:szCs w:val="22"/>
        </w:rPr>
        <w:t xml:space="preserve"> il 70% e in Germania il 60%), con significative differenze </w:t>
      </w:r>
      <w:r>
        <w:rPr>
          <w:rStyle w:val="style20"/>
          <w:rFonts w:ascii="Book Antiqua" w:cs="Times New Roman" w:eastAsia="Calibri" w:hAnsi="Book Antiqua"/>
          <w:bCs/>
          <w:spacing w:val="7"/>
          <w:sz w:val="22"/>
          <w:szCs w:val="22"/>
        </w:rPr>
        <w:t xml:space="preserve">nella loro configurazione da un paese all'altro. </w:t>
      </w:r>
    </w:p>
    <w:p>
      <w:pPr>
        <w:pStyle w:val="style0"/>
        <w:tabs>
          <w:tab w:leader="none" w:pos="397" w:val="left"/>
          <w:tab w:leader="none" w:pos="708" w:val="left"/>
          <w:tab w:leader="none" w:pos="851" w:val="left"/>
        </w:tabs>
        <w:jc w:val="both"/>
      </w:pPr>
      <w:r>
        <w:rPr>
          <w:rStyle w:val="style20"/>
          <w:rFonts w:ascii="Book Antiqua" w:hAnsi="Book Antiqua"/>
          <w:bCs/>
          <w:spacing w:val="-1"/>
          <w:sz w:val="24"/>
          <w:szCs w:val="24"/>
        </w:rPr>
        <w:t>…</w:t>
      </w:r>
      <w:r>
        <w:rPr>
          <w:rStyle w:val="style20"/>
          <w:rFonts w:ascii="Book Antiqua" w:hAnsi="Book Antiqua"/>
          <w:bCs/>
          <w:spacing w:val="-1"/>
          <w:sz w:val="24"/>
          <w:szCs w:val="24"/>
        </w:rPr>
        <w:t>..</w:t>
      </w:r>
    </w:p>
    <w:p>
      <w:pPr>
        <w:pStyle w:val="style0"/>
        <w:tabs>
          <w:tab w:leader="none" w:pos="397" w:val="left"/>
          <w:tab w:leader="none" w:pos="708" w:val="left"/>
          <w:tab w:leader="none" w:pos="851" w:val="left"/>
        </w:tabs>
        <w:jc w:val="both"/>
      </w:pPr>
      <w:r>
        <w:rPr>
          <w:rStyle w:val="style19"/>
          <w:rFonts w:ascii="Book Antiqua" w:hAnsi="Book Antiqua"/>
          <w:spacing w:val="2"/>
          <w:sz w:val="22"/>
          <w:szCs w:val="22"/>
        </w:rPr>
        <w:t xml:space="preserve">2.3. </w:t>
      </w:r>
      <w:r>
        <w:rPr>
          <w:rStyle w:val="style19"/>
          <w:rFonts w:ascii="Book Antiqua" w:cs="Times New Roman" w:eastAsia="Calibri" w:hAnsi="Book Antiqua"/>
          <w:spacing w:val="2"/>
          <w:sz w:val="22"/>
          <w:szCs w:val="22"/>
        </w:rPr>
        <w:t xml:space="preserve">Le banche cooperative e le casse di risparmio, quali modelli di attività bancaria al dettaglio, presentano elementi distintivi molto significativi: il loro legame con il tessuto </w:t>
      </w:r>
      <w:r>
        <w:rPr>
          <w:rStyle w:val="style19"/>
          <w:rFonts w:ascii="Book Antiqua" w:cs="Times New Roman" w:eastAsia="Calibri" w:hAnsi="Book Antiqua"/>
          <w:spacing w:val="2"/>
          <w:w w:val="95"/>
          <w:sz w:val="22"/>
          <w:szCs w:val="22"/>
        </w:rPr>
        <w:t xml:space="preserve">produttivo </w:t>
      </w:r>
      <w:r>
        <w:rPr>
          <w:rStyle w:val="style19"/>
          <w:rFonts w:ascii="Book Antiqua" w:cs="Times New Roman" w:eastAsia="Calibri" w:hAnsi="Book Antiqua"/>
          <w:sz w:val="22"/>
          <w:szCs w:val="22"/>
        </w:rPr>
        <w:t xml:space="preserve">locale, il loro radicamento territoriale, la capillarità delle loro reti commerciali, la prossimità </w:t>
      </w:r>
      <w:r>
        <w:rPr>
          <w:rStyle w:val="style19"/>
          <w:rFonts w:ascii="Book Antiqua" w:cs="Times New Roman" w:eastAsia="Calibri" w:hAnsi="Book Antiqua"/>
          <w:spacing w:val="-2"/>
          <w:sz w:val="22"/>
          <w:szCs w:val="22"/>
        </w:rPr>
        <w:t xml:space="preserve">alla clientela, il finanziamento di settori specifici, la contiguità agli interessi locali e agli attori </w:t>
      </w:r>
      <w:r>
        <w:rPr>
          <w:rStyle w:val="style19"/>
          <w:rFonts w:ascii="Book Antiqua" w:cs="Times New Roman" w:eastAsia="Calibri" w:hAnsi="Book Antiqua"/>
          <w:sz w:val="22"/>
          <w:szCs w:val="22"/>
        </w:rPr>
        <w:t>sociali, nonché la solidarietà.</w:t>
      </w:r>
    </w:p>
    <w:p>
      <w:pPr>
        <w:pStyle w:val="style0"/>
        <w:tabs>
          <w:tab w:leader="none" w:pos="397" w:val="left"/>
          <w:tab w:leader="none" w:pos="708" w:val="left"/>
          <w:tab w:leader="none" w:pos="851" w:val="left"/>
        </w:tabs>
        <w:jc w:val="both"/>
      </w:pPr>
      <w:r>
        <w:rPr>
          <w:rStyle w:val="style19"/>
          <w:rFonts w:ascii="Book Antiqua" w:hAnsi="Book Antiqua"/>
          <w:sz w:val="22"/>
          <w:szCs w:val="22"/>
        </w:rPr>
        <w:t>…</w:t>
      </w:r>
      <w:r>
        <w:rPr>
          <w:rStyle w:val="style19"/>
          <w:rFonts w:ascii="Book Antiqua" w:hAnsi="Book Antiqua"/>
          <w:sz w:val="22"/>
          <w:szCs w:val="22"/>
        </w:rPr>
        <w:t>.</w:t>
      </w:r>
    </w:p>
    <w:p>
      <w:pPr>
        <w:pStyle w:val="style0"/>
        <w:tabs>
          <w:tab w:leader="none" w:pos="397" w:val="left"/>
          <w:tab w:leader="none" w:pos="708" w:val="left"/>
          <w:tab w:leader="none" w:pos="851" w:val="left"/>
        </w:tabs>
        <w:jc w:val="both"/>
      </w:pPr>
      <w:r>
        <w:rPr>
          <w:rStyle w:val="style21"/>
          <w:rFonts w:ascii="Book Antiqua" w:cs="Times New Roman" w:eastAsia="Calibri" w:hAnsi="Book Antiqua"/>
          <w:spacing w:val="4"/>
        </w:rPr>
        <w:t>2.9.</w:t>
        <w:tab/>
        <w:t xml:space="preserve">Ciononostante, si possono osservare delle eccezioni: alcune casse di risparmio e banche </w:t>
      </w:r>
      <w:r>
        <w:rPr>
          <w:rStyle w:val="style19"/>
          <w:rFonts w:ascii="Book Antiqua" w:cs="Times New Roman" w:eastAsia="Calibri" w:hAnsi="Book Antiqua"/>
          <w:spacing w:val="-3"/>
          <w:sz w:val="22"/>
          <w:szCs w:val="22"/>
        </w:rPr>
        <w:t xml:space="preserve">cooperative hanno tralasciato gli obiettivi loro propri, entrando con forza nel mercato delle </w:t>
      </w:r>
      <w:r>
        <w:rPr>
          <w:rStyle w:val="style19"/>
          <w:rFonts w:ascii="Book Antiqua" w:cs="Times New Roman" w:eastAsia="Calibri" w:hAnsi="Book Antiqua"/>
          <w:sz w:val="22"/>
          <w:szCs w:val="22"/>
        </w:rPr>
        <w:t xml:space="preserve">attività speculative e puntando su espansioni eccessive in altri territori, circostanze che ne </w:t>
      </w:r>
      <w:r>
        <w:rPr>
          <w:rStyle w:val="style19"/>
          <w:rFonts w:ascii="Book Antiqua" w:cs="Times New Roman" w:eastAsia="Calibri" w:hAnsi="Book Antiqua"/>
          <w:spacing w:val="-2"/>
          <w:sz w:val="22"/>
          <w:szCs w:val="22"/>
        </w:rPr>
        <w:t>hanno minato il prestigio e che sono state il motivo alla base dell'introduzione in alcuni paesi di misure di regolamentazione che per alcuni aspetti hanno snaturato questo modello di banca.</w:t>
      </w:r>
    </w:p>
    <w:p>
      <w:pPr>
        <w:pStyle w:val="style0"/>
        <w:tabs>
          <w:tab w:leader="none" w:pos="397" w:val="left"/>
          <w:tab w:leader="none" w:pos="708" w:val="left"/>
          <w:tab w:leader="none" w:pos="851" w:val="left"/>
        </w:tabs>
        <w:jc w:val="both"/>
      </w:pPr>
      <w:r>
        <w:rPr>
          <w:rStyle w:val="style19"/>
          <w:rFonts w:ascii="Book Antiqua" w:cs="Times New Roman" w:eastAsia="Calibri" w:hAnsi="Book Antiqua"/>
          <w:sz w:val="22"/>
          <w:szCs w:val="22"/>
        </w:rPr>
        <w:t xml:space="preserve">2.10. In </w:t>
      </w:r>
      <w:r>
        <w:rPr>
          <w:rStyle w:val="style21"/>
          <w:rFonts w:ascii="Book Antiqua" w:cs="Times New Roman" w:eastAsia="Calibri" w:hAnsi="Book Antiqua"/>
          <w:spacing w:val="-1"/>
        </w:rPr>
        <w:t>sintesi, il rafforzamento del capitale, il raggiungimento di una dimensione adeguata, il</w:t>
      </w:r>
      <w:r>
        <w:rPr>
          <w:rStyle w:val="style21"/>
          <w:rFonts w:ascii="Book Antiqua" w:cs="Times New Roman" w:eastAsia="Calibri" w:hAnsi="Book Antiqua"/>
        </w:rPr>
        <w:t xml:space="preserve"> </w:t>
      </w:r>
      <w:r>
        <w:rPr>
          <w:rStyle w:val="style19"/>
          <w:rFonts w:ascii="Book Antiqua" w:cs="Times New Roman" w:eastAsia="Calibri" w:hAnsi="Book Antiqua"/>
          <w:sz w:val="22"/>
          <w:szCs w:val="22"/>
        </w:rPr>
        <w:t xml:space="preserve">mantenimento del radicamento territoriale e la salvaguardia degli alti livelli di tutela del </w:t>
      </w:r>
      <w:r>
        <w:rPr>
          <w:rStyle w:val="style21"/>
          <w:rFonts w:ascii="Book Antiqua" w:cs="Times New Roman" w:eastAsia="Calibri" w:hAnsi="Book Antiqua"/>
          <w:spacing w:val="-2"/>
        </w:rPr>
        <w:t>consumatore devono andare di pari passo con il mantenimento delle caratteristiche di fondo di</w:t>
      </w:r>
      <w:r>
        <w:rPr>
          <w:rStyle w:val="style21"/>
          <w:rFonts w:ascii="Book Antiqua" w:cs="Times New Roman" w:eastAsia="Calibri" w:hAnsi="Book Antiqua"/>
        </w:rPr>
        <w:t xml:space="preserve"> </w:t>
      </w:r>
      <w:r>
        <w:rPr>
          <w:rStyle w:val="style19"/>
          <w:rFonts w:ascii="Book Antiqua" w:cs="Times New Roman" w:eastAsia="Calibri" w:hAnsi="Book Antiqua"/>
          <w:spacing w:val="5"/>
          <w:sz w:val="22"/>
          <w:szCs w:val="22"/>
        </w:rPr>
        <w:t xml:space="preserve">un modello d'impresa specifico. Il CESE chiede alle istituzioni dell'Unione europea di </w:t>
      </w:r>
      <w:r>
        <w:rPr>
          <w:rStyle w:val="style21"/>
          <w:rFonts w:ascii="Book Antiqua" w:cs="Times New Roman" w:eastAsia="Calibri" w:hAnsi="Book Antiqua"/>
          <w:spacing w:val="-4"/>
        </w:rPr>
        <w:t>riconoscere e sostenere</w:t>
      </w:r>
      <w:r>
        <w:rPr>
          <w:rStyle w:val="style21"/>
          <w:rFonts w:ascii="Book Antiqua" w:cs="Times New Roman" w:eastAsia="Calibri" w:hAnsi="Book Antiqua"/>
        </w:rPr>
        <w:t xml:space="preserve"> </w:t>
      </w:r>
      <w:r>
        <w:rPr>
          <w:rFonts w:ascii="Book Antiqua" w:cs="Times New Roman" w:eastAsia="Calibri" w:hAnsi="Book Antiqua"/>
          <w:spacing w:val="1"/>
        </w:rPr>
        <w:t>questo processo.</w:t>
      </w:r>
    </w:p>
    <w:p>
      <w:pPr>
        <w:pStyle w:val="style0"/>
        <w:tabs>
          <w:tab w:leader="none" w:pos="397" w:val="left"/>
          <w:tab w:leader="none" w:pos="708" w:val="left"/>
          <w:tab w:leader="none" w:pos="851" w:val="left"/>
        </w:tabs>
        <w:jc w:val="both"/>
      </w:pPr>
      <w:r>
        <w:rPr>
          <w:rFonts w:ascii="Book Antiqua" w:hAnsi="Book Antiqua"/>
          <w:spacing w:val="1"/>
        </w:rPr>
        <w:t>…</w:t>
      </w:r>
      <w:r>
        <w:rPr>
          <w:rFonts w:ascii="Book Antiqua" w:hAnsi="Book Antiqua"/>
          <w:spacing w:val="1"/>
        </w:rPr>
        <w:t>..</w:t>
      </w:r>
    </w:p>
    <w:p>
      <w:pPr>
        <w:pStyle w:val="style0"/>
        <w:tabs>
          <w:tab w:leader="none" w:pos="397" w:val="left"/>
          <w:tab w:leader="none" w:pos="708" w:val="left"/>
          <w:tab w:leader="none" w:pos="851" w:val="left"/>
        </w:tabs>
        <w:jc w:val="both"/>
      </w:pPr>
      <w:r>
        <w:rPr>
          <w:rStyle w:val="style20"/>
          <w:rFonts w:ascii="Book Antiqua" w:hAnsi="Book Antiqua"/>
          <w:spacing w:val="-2"/>
          <w:sz w:val="22"/>
          <w:szCs w:val="22"/>
        </w:rPr>
        <w:t xml:space="preserve">3.2. </w:t>
      </w:r>
      <w:r>
        <w:rPr>
          <w:rStyle w:val="style20"/>
          <w:rFonts w:ascii="Book Antiqua" w:cs="Times New Roman" w:eastAsia="Calibri" w:hAnsi="Book Antiqua"/>
          <w:spacing w:val="-2"/>
          <w:sz w:val="22"/>
          <w:szCs w:val="22"/>
        </w:rPr>
        <w:t xml:space="preserve">Ciononostante, le banche cooperative e le casse di risparmio continuano a svolgere un ruolo </w:t>
      </w:r>
      <w:r>
        <w:rPr>
          <w:rStyle w:val="style20"/>
          <w:rFonts w:ascii="Book Antiqua" w:cs="Times New Roman" w:eastAsia="Calibri" w:hAnsi="Book Antiqua"/>
          <w:spacing w:val="-3"/>
          <w:sz w:val="22"/>
          <w:szCs w:val="22"/>
        </w:rPr>
        <w:t xml:space="preserve">molto importante nel raggiungimento degli obiettivi della strategia Europa 2020 attraverso la </w:t>
      </w:r>
      <w:r>
        <w:rPr>
          <w:rStyle w:val="style20"/>
          <w:rFonts w:ascii="Book Antiqua" w:cs="Times New Roman" w:eastAsia="Calibri" w:hAnsi="Book Antiqua"/>
          <w:spacing w:val="1"/>
          <w:sz w:val="22"/>
          <w:szCs w:val="22"/>
        </w:rPr>
        <w:t>loro funzione finanziaria, sociale e territoriale, e la loro attività è integrata dalle forme di</w:t>
      </w:r>
      <w:r>
        <w:rPr>
          <w:rStyle w:val="style20"/>
          <w:rFonts w:ascii="Book Antiqua" w:cs="Times New Roman" w:eastAsia="Calibri" w:hAnsi="Book Antiqua"/>
          <w:spacing w:val="-2"/>
          <w:sz w:val="22"/>
          <w:szCs w:val="22"/>
        </w:rPr>
        <w:t xml:space="preserve"> </w:t>
      </w:r>
      <w:r>
        <w:rPr>
          <w:rStyle w:val="style20"/>
          <w:rFonts w:ascii="Book Antiqua" w:cs="Times New Roman" w:eastAsia="Calibri" w:hAnsi="Book Antiqua"/>
          <w:spacing w:val="-5"/>
          <w:sz w:val="22"/>
          <w:szCs w:val="22"/>
        </w:rPr>
        <w:t xml:space="preserve">finanziamento non bancario (finanziamento collettivo - crowdfunding, capitale di rischio, investitori informali - </w:t>
      </w:r>
      <w:r>
        <w:rPr>
          <w:rStyle w:val="style20"/>
          <w:rFonts w:ascii="Book Antiqua" w:cs="Times New Roman" w:eastAsia="Calibri" w:hAnsi="Book Antiqua"/>
          <w:i/>
          <w:iCs/>
          <w:spacing w:val="-5"/>
          <w:sz w:val="22"/>
          <w:szCs w:val="22"/>
        </w:rPr>
        <w:t xml:space="preserve">business angels, </w:t>
      </w:r>
      <w:r>
        <w:rPr>
          <w:rStyle w:val="style20"/>
          <w:rFonts w:ascii="Book Antiqua" w:cs="Times New Roman" w:eastAsia="Calibri" w:hAnsi="Book Antiqua"/>
          <w:spacing w:val="-5"/>
          <w:sz w:val="22"/>
          <w:szCs w:val="22"/>
        </w:rPr>
        <w:t xml:space="preserve">ecc.) sorte a causa della forte contrazione del credito </w:t>
      </w:r>
      <w:r>
        <w:rPr>
          <w:rStyle w:val="style20"/>
          <w:rFonts w:ascii="Book Antiqua" w:cs="Times New Roman" w:eastAsia="Calibri" w:hAnsi="Book Antiqua"/>
          <w:spacing w:val="-6"/>
          <w:sz w:val="22"/>
          <w:szCs w:val="22"/>
        </w:rPr>
        <w:t xml:space="preserve">bancario </w:t>
      </w:r>
      <w:r>
        <w:rPr>
          <w:rStyle w:val="style20"/>
          <w:rFonts w:ascii="Book Antiqua" w:cs="Times New Roman" w:eastAsia="Calibri" w:hAnsi="Book Antiqua"/>
          <w:i/>
          <w:iCs/>
          <w:spacing w:val="-6"/>
          <w:sz w:val="22"/>
          <w:szCs w:val="22"/>
        </w:rPr>
        <w:t xml:space="preserve">(credit crunch) </w:t>
      </w:r>
      <w:r>
        <w:rPr>
          <w:rStyle w:val="style20"/>
          <w:rFonts w:ascii="Book Antiqua" w:cs="Times New Roman" w:eastAsia="Calibri" w:hAnsi="Book Antiqua"/>
          <w:spacing w:val="-6"/>
          <w:sz w:val="22"/>
          <w:szCs w:val="22"/>
        </w:rPr>
        <w:t>e delle ingenti garanzie richieste</w:t>
      </w:r>
    </w:p>
    <w:p>
      <w:pPr>
        <w:pStyle w:val="style0"/>
        <w:tabs>
          <w:tab w:leader="none" w:pos="397" w:val="left"/>
          <w:tab w:leader="none" w:pos="708" w:val="left"/>
          <w:tab w:leader="none" w:pos="851" w:val="left"/>
        </w:tabs>
        <w:jc w:val="both"/>
      </w:pPr>
      <w:r>
        <w:rPr>
          <w:rStyle w:val="style19"/>
          <w:rFonts w:ascii="Book Antiqua" w:hAnsi="Book Antiqua"/>
          <w:sz w:val="22"/>
          <w:szCs w:val="22"/>
        </w:rPr>
        <w:t xml:space="preserve">3.3. </w:t>
      </w:r>
      <w:r>
        <w:rPr>
          <w:rStyle w:val="style19"/>
          <w:rFonts w:ascii="Book Antiqua" w:cs="Times New Roman" w:eastAsia="Calibri" w:hAnsi="Book Antiqua"/>
          <w:sz w:val="22"/>
          <w:szCs w:val="22"/>
        </w:rPr>
        <w:t>Il CESE ritiene che le autorità economiche e finanziarie debbano rafforzate le misure per</w:t>
      </w:r>
      <w:r>
        <w:rPr>
          <w:rStyle w:val="style19"/>
          <w:rFonts w:ascii="Book Antiqua" w:cs="Times New Roman" w:eastAsia="Calibri" w:hAnsi="Book Antiqua"/>
          <w:spacing w:val="-2"/>
          <w:sz w:val="22"/>
          <w:szCs w:val="22"/>
        </w:rPr>
        <w:t xml:space="preserve"> </w:t>
      </w:r>
      <w:r>
        <w:rPr>
          <w:rStyle w:val="style20"/>
          <w:rFonts w:ascii="Book Antiqua" w:cs="Times New Roman" w:eastAsia="Calibri" w:hAnsi="Book Antiqua"/>
          <w:spacing w:val="-11"/>
          <w:sz w:val="22"/>
          <w:szCs w:val="22"/>
        </w:rPr>
        <w:t>rendere più facile l'accesso ai fondi da parte delle PMI e</w:t>
      </w:r>
      <w:r>
        <w:rPr>
          <w:rStyle w:val="style20"/>
          <w:rFonts w:ascii="Book Antiqua" w:cs="Times New Roman" w:eastAsia="Calibri" w:hAnsi="Book Antiqua"/>
          <w:spacing w:val="-11"/>
          <w:sz w:val="22"/>
          <w:szCs w:val="22"/>
          <w:vertAlign w:val="superscript"/>
        </w:rPr>
        <w:t xml:space="preserve"> </w:t>
      </w:r>
      <w:r>
        <w:rPr>
          <w:rStyle w:val="style20"/>
          <w:rFonts w:ascii="Book Antiqua" w:cs="Times New Roman" w:eastAsia="Calibri" w:hAnsi="Book Antiqua"/>
          <w:spacing w:val="-11"/>
          <w:sz w:val="22"/>
          <w:szCs w:val="22"/>
        </w:rPr>
        <w:t xml:space="preserve">per stimolare i finanziamenti a lungo </w:t>
      </w:r>
      <w:r>
        <w:rPr>
          <w:rStyle w:val="style20"/>
          <w:rFonts w:ascii="Book Antiqua" w:cs="Times New Roman" w:eastAsia="Calibri" w:hAnsi="Book Antiqua"/>
          <w:spacing w:val="-3"/>
          <w:sz w:val="22"/>
          <w:szCs w:val="22"/>
        </w:rPr>
        <w:t>termine, promuovendo la varietà delle forme d'impresa</w:t>
      </w:r>
      <w:r>
        <w:rPr>
          <w:rStyle w:val="style23"/>
        </w:rPr>
        <w:footnoteReference w:id="2"/>
      </w:r>
      <w:r>
        <w:rPr>
          <w:rStyle w:val="style20"/>
          <w:rFonts w:ascii="Book Antiqua" w:cs="Times New Roman" w:eastAsia="Calibri" w:hAnsi="Book Antiqua"/>
          <w:spacing w:val="-3"/>
          <w:sz w:val="22"/>
          <w:szCs w:val="22"/>
        </w:rPr>
        <w:t xml:space="preserve"> é la ripartizione dei rischi nel settore </w:t>
      </w:r>
      <w:r>
        <w:rPr>
          <w:rStyle w:val="style20"/>
          <w:rFonts w:ascii="Book Antiqua" w:cs="Times New Roman" w:eastAsia="Calibri" w:hAnsi="Book Antiqua"/>
          <w:spacing w:val="-5"/>
          <w:sz w:val="22"/>
          <w:szCs w:val="22"/>
        </w:rPr>
        <w:t xml:space="preserve">dei servizi finanziari. </w:t>
      </w:r>
      <w:r>
        <w:rPr>
          <w:rStyle w:val="style20"/>
          <w:rFonts w:ascii="Book Antiqua" w:hAnsi="Book Antiqua"/>
          <w:spacing w:val="-5"/>
          <w:sz w:val="22"/>
          <w:szCs w:val="22"/>
        </w:rPr>
        <w:t>“</w:t>
      </w:r>
    </w:p>
    <w:p>
      <w:pPr>
        <w:pStyle w:val="style0"/>
        <w:jc w:val="both"/>
      </w:pPr>
      <w:r>
        <w:rPr>
          <w:rFonts w:ascii="Book Antiqua" w:hAnsi="Book Antiqua"/>
        </w:rPr>
        <w:t>(Questa è la linea di pensiero del nostro libro e del nostro ricorso: riformare, dove è necessario, non distruggere).</w:t>
      </w:r>
    </w:p>
    <w:p>
      <w:pPr>
        <w:pStyle w:val="style0"/>
        <w:jc w:val="both"/>
      </w:pPr>
      <w:r>
        <w:rPr>
          <w:rFonts w:ascii="Book Antiqua" w:hAnsi="Book Antiqua"/>
        </w:rPr>
        <w:t>“</w:t>
      </w:r>
      <w:r>
        <w:rPr>
          <w:rFonts w:ascii="Book Antiqua" w:hAnsi="Book Antiqua"/>
        </w:rPr>
        <w:t>Il CESE analizza poi il tema delicatissimo e importantissimo dei ratio e altri parametri imposti dagli Organismi di Vigilanza sottolineando l’incongruenza e la pericolosità di applicare a tutti i tipi di banche gli stessi parametri, opprimendo e soffocando le banche minori ( e ciò vale anche per le banche minori private) sotto parametri e adempimenti pensati e adatti per le grandi banche ma disastrosi per le banche minori o a struttura speciale.</w:t>
      </w:r>
    </w:p>
    <w:p>
      <w:pPr>
        <w:pStyle w:val="style0"/>
        <w:tabs>
          <w:tab w:leader="none" w:pos="708" w:val="left"/>
          <w:tab w:leader="none" w:pos="851" w:val="left"/>
          <w:tab w:leader="none" w:pos="4819" w:val="center"/>
          <w:tab w:leader="none" w:pos="9638" w:val="right"/>
        </w:tabs>
        <w:jc w:val="both"/>
      </w:pPr>
      <w:r>
        <w:rPr>
          <w:rFonts w:ascii="Book Antiqua" w:hAnsi="Book Antiqua"/>
        </w:rPr>
        <w:t>“</w:t>
      </w:r>
      <w:r>
        <w:rPr>
          <w:rStyle w:val="style19"/>
          <w:rFonts w:ascii="Book Antiqua" w:cs="Times New Roman" w:eastAsia="Calibri" w:hAnsi="Book Antiqua"/>
          <w:sz w:val="22"/>
          <w:szCs w:val="22"/>
        </w:rPr>
        <w:t xml:space="preserve">5.8. </w:t>
      </w:r>
      <w:r>
        <w:rPr>
          <w:rStyle w:val="style19"/>
          <w:rFonts w:ascii="Book Antiqua" w:cs="Times New Roman" w:eastAsia="Calibri" w:hAnsi="Book Antiqua"/>
          <w:spacing w:val="-2"/>
          <w:sz w:val="22"/>
          <w:szCs w:val="22"/>
        </w:rPr>
        <w:t xml:space="preserve">In definitiva, secondo il CESE, se non si prevede una certa flessibilità in merito al rispetto dei </w:t>
      </w:r>
      <w:r>
        <w:rPr>
          <w:rStyle w:val="style20"/>
          <w:rFonts w:ascii="Book Antiqua" w:cs="Times New Roman" w:eastAsia="Calibri" w:hAnsi="Book Antiqua"/>
          <w:sz w:val="22"/>
          <w:szCs w:val="22"/>
        </w:rPr>
        <w:t xml:space="preserve">nuovi requisiti regolamentari, si corre il rischio che le banche cooperative e le casse di </w:t>
      </w:r>
      <w:r>
        <w:rPr>
          <w:rStyle w:val="style20"/>
          <w:rFonts w:ascii="Book Antiqua" w:cs="Times New Roman" w:eastAsia="Calibri" w:hAnsi="Book Antiqua"/>
          <w:spacing w:val="-5"/>
          <w:sz w:val="22"/>
          <w:szCs w:val="22"/>
        </w:rPr>
        <w:t>risparmio subiscano una trasformazione del loro assetto proprietario ("bancarización</w:t>
      </w:r>
      <w:r>
        <w:rPr>
          <w:rStyle w:val="style20"/>
          <w:rFonts w:ascii="Book Antiqua" w:cs="Times New Roman" w:eastAsia="Calibri" w:hAnsi="Book Antiqua"/>
          <w:spacing w:val="-5"/>
          <w:sz w:val="22"/>
          <w:szCs w:val="22"/>
          <w:u w:val="single"/>
        </w:rPr>
        <w:t xml:space="preserve">"), con un </w:t>
      </w:r>
      <w:r>
        <w:rPr>
          <w:rStyle w:val="style20"/>
          <w:rFonts w:ascii="Book Antiqua" w:cs="Times New Roman" w:eastAsia="Calibri" w:hAnsi="Book Antiqua"/>
          <w:spacing w:val="-2"/>
          <w:sz w:val="22"/>
          <w:szCs w:val="22"/>
          <w:u w:val="single"/>
        </w:rPr>
        <w:t xml:space="preserve">loro conseguente snaturamento che provocherebbe la perdita per la società di un grande </w:t>
      </w:r>
      <w:r>
        <w:rPr>
          <w:rStyle w:val="style20"/>
          <w:rFonts w:ascii="Book Antiqua" w:cs="Times New Roman" w:eastAsia="Calibri" w:hAnsi="Book Antiqua"/>
          <w:spacing w:val="-3"/>
          <w:sz w:val="22"/>
          <w:szCs w:val="22"/>
          <w:u w:val="single"/>
        </w:rPr>
        <w:t>patrimonio sociale costruito lungo i secoli.</w:t>
      </w:r>
      <w:r>
        <w:rPr>
          <w:rStyle w:val="style20"/>
          <w:rFonts w:ascii="Book Antiqua" w:cs="Times New Roman" w:eastAsia="Calibri" w:hAnsi="Book Antiqua"/>
          <w:spacing w:val="-3"/>
          <w:sz w:val="22"/>
          <w:szCs w:val="22"/>
        </w:rPr>
        <w:t>”(Sottolineatura aggiunta).</w:t>
      </w:r>
    </w:p>
    <w:p>
      <w:pPr>
        <w:pStyle w:val="style0"/>
        <w:jc w:val="both"/>
      </w:pPr>
      <w:r>
        <w:rPr/>
      </w:r>
    </w:p>
    <w:p>
      <w:pPr>
        <w:pStyle w:val="style0"/>
        <w:jc w:val="both"/>
      </w:pPr>
      <w:r>
        <w:rPr/>
      </w:r>
    </w:p>
    <w:p>
      <w:pPr>
        <w:pStyle w:val="style0"/>
        <w:jc w:val="both"/>
      </w:pPr>
      <w:r>
        <w:rPr>
          <w:rFonts w:ascii="Book Antiqua" w:hAnsi="Book Antiqua"/>
        </w:rPr>
        <w:t>Un altro spunto che è emerso frequentemente nei documenti  o nelle dichiarazioni della direzione della Banca d’Italia è: “ ce lo chiede il Fondo Monetario Internazionale”. Forse fanno riferimento ad un articolo privato di una gentile signora che, a titolo personale, ha scritto in materia sul bollettino del FMI. Invece il CESE, organismo istituzionale della UE, scrive:</w:t>
      </w:r>
    </w:p>
    <w:p>
      <w:pPr>
        <w:pStyle w:val="style0"/>
        <w:jc w:val="both"/>
      </w:pPr>
      <w:r>
        <w:rPr>
          <w:rFonts w:ascii="Book Antiqua" w:hAnsi="Book Antiqua"/>
          <w:i/>
          <w:u w:val="single"/>
        </w:rPr>
        <w:t xml:space="preserve">“ </w:t>
      </w:r>
      <w:r>
        <w:rPr>
          <w:rFonts w:ascii="Book Antiqua" w:hAnsi="Book Antiqua"/>
          <w:i/>
          <w:u w:val="single"/>
        </w:rPr>
        <w:t>Anche il fondo Monetario Internazionale pone l’accento sul ruolo essenziale delle banche cooperative. Questi istituti che dipendono in misura minore dalle aspettative degli azionisti, soddisfano in modo affidabile e sereno le necessità di credito delle PMI e di molti nuclei familiari”</w:t>
      </w:r>
      <w:r>
        <w:rPr>
          <w:rFonts w:ascii="Book Antiqua" w:hAnsi="Book Antiqua"/>
        </w:rPr>
        <w:t xml:space="preserve"> (sottolineatura aggiunta).</w:t>
      </w:r>
    </w:p>
    <w:p>
      <w:pPr>
        <w:pStyle w:val="style0"/>
        <w:jc w:val="both"/>
      </w:pPr>
      <w:r>
        <w:rPr>
          <w:rFonts w:ascii="Book Antiqua" w:hAnsi="Book Antiqua"/>
        </w:rPr>
        <w:t xml:space="preserve">Chi dice la verità, il CESE  o il direttore generale della Banca d’Italia Salvatore Rossi? </w:t>
      </w:r>
    </w:p>
    <w:p>
      <w:pPr>
        <w:pStyle w:val="style0"/>
        <w:jc w:val="both"/>
      </w:pPr>
      <w:r>
        <w:rPr>
          <w:rFonts w:ascii="Book Antiqua" w:hAnsi="Book Antiqua"/>
        </w:rPr>
        <w:t>Nel vano tentativo di trovare alcuni complici dell’assassinio in atto, abbiamo pensato alla BCE che è sotto il dominio del pensiero unico del capitalismo finanziario. Ma siamo stati delusi, perché abbiamo trovato il Regolamento UE n. 1024/2013 del Consiglio del  15.10.2013 che attribuisce alla BCE la responsabilità della Vigilanza sulle banche maggiori con attività superiori a 30 miliardi.</w:t>
      </w:r>
    </w:p>
    <w:p>
      <w:pPr>
        <w:pStyle w:val="style0"/>
        <w:jc w:val="both"/>
      </w:pPr>
      <w:r>
        <w:rPr>
          <w:rFonts w:ascii="Book Antiqua" w:hAnsi="Book Antiqua"/>
        </w:rPr>
        <w:t xml:space="preserve">Ora, tale regolamento dice testualmente: “Nell’assolvimento dei compiti attribuitile e fatto salvo l’obiettivo di assicurare la sicurezza e la solidità degli enti creditizi, la BCE dovrebbe tenere pienamente conto della diversità degli enti creditizi stessi, delle loro dimensioni e del loro </w:t>
      </w:r>
      <w:r>
        <w:rPr>
          <w:rFonts w:ascii="Book Antiqua" w:hAnsi="Book Antiqua"/>
          <w:u w:val="single"/>
        </w:rPr>
        <w:t xml:space="preserve">modello societario, </w:t>
      </w:r>
      <w:r>
        <w:rPr>
          <w:rFonts w:ascii="Book Antiqua" w:hAnsi="Book Antiqua"/>
        </w:rPr>
        <w:t xml:space="preserve">nonché dei </w:t>
      </w:r>
      <w:r>
        <w:rPr>
          <w:rFonts w:ascii="Book Antiqua" w:hAnsi="Book Antiqua"/>
          <w:u w:val="single"/>
        </w:rPr>
        <w:t xml:space="preserve">vantaggi sistemici della diversità nel settore bancario dell’Unione” </w:t>
      </w:r>
      <w:r>
        <w:rPr>
          <w:rFonts w:ascii="Book Antiqua" w:hAnsi="Book Antiqua"/>
        </w:rPr>
        <w:t>; ed anche: “Nell’assolvere i compiti attribuitile dal presente regolamento e fatto salvo l’obiettivo di garantire la sicurezza e la solidità degli enti creditizi, la BCE tiene in debita considerazione le diverse tipologie, i modelli societari e le dimensioni degli enti creditizi” (art.1,par.3). Questo non può che rivolgersi alle banche popolari con attivi superiori ai 30 miliardi, che sono le uniche che rientrano nella sfera della Vigilanza della BCE.</w:t>
      </w:r>
    </w:p>
    <w:p>
      <w:pPr>
        <w:pStyle w:val="style0"/>
        <w:jc w:val="both"/>
      </w:pPr>
      <w:r>
        <w:rPr>
          <w:rFonts w:ascii="Book Antiqua" w:hAnsi="Book Antiqua"/>
        </w:rPr>
        <w:t>Allora? Il re è nudo. E non è più regale. Che tristezza!</w:t>
      </w:r>
    </w:p>
    <w:p>
      <w:pPr>
        <w:pStyle w:val="style0"/>
        <w:jc w:val="both"/>
      </w:pPr>
      <w:r>
        <w:rPr/>
      </w:r>
    </w:p>
    <w:p>
      <w:pPr>
        <w:pStyle w:val="style0"/>
        <w:spacing w:after="0" w:before="0"/>
        <w:ind w:hanging="5" w:left="426" w:right="0"/>
        <w:jc w:val="right"/>
      </w:pPr>
      <w:r>
        <w:rPr>
          <w:rFonts w:ascii="Book Antiqua" w:hAnsi="Book Antiqua"/>
        </w:rPr>
        <w:t xml:space="preserve"> </w:t>
      </w:r>
      <w:r>
        <w:rPr>
          <w:rFonts w:ascii="Book Antiqua" w:hAnsi="Book Antiqua"/>
        </w:rPr>
        <w:t>Marco Vitale</w:t>
      </w:r>
    </w:p>
    <w:p>
      <w:pPr>
        <w:pStyle w:val="style0"/>
        <w:spacing w:after="0" w:before="0"/>
        <w:ind w:hanging="5" w:left="426" w:right="0"/>
        <w:jc w:val="right"/>
      </w:pPr>
      <w:hyperlink r:id="rId3">
        <w:r>
          <w:rPr>
            <w:rStyle w:val="style16"/>
            <w:rStyle w:val="style16"/>
            <w:rFonts w:ascii="Book Antiqua" w:hAnsi="Book Antiqua"/>
          </w:rPr>
          <w:t>www.marcovitale.it</w:t>
        </w:r>
      </w:hyperlink>
    </w:p>
    <w:p>
      <w:pPr>
        <w:pStyle w:val="style0"/>
        <w:spacing w:after="0" w:before="0"/>
        <w:ind w:hanging="5" w:left="426" w:right="0"/>
        <w:jc w:val="right"/>
      </w:pPr>
      <w:hyperlink r:id="rId4">
        <w:r>
          <w:rPr>
            <w:rStyle w:val="style16"/>
            <w:rStyle w:val="style16"/>
            <w:rFonts w:ascii="Book Antiqua" w:hAnsi="Book Antiqua"/>
          </w:rPr>
          <w:t>www.reset.it</w:t>
        </w:r>
      </w:hyperlink>
    </w:p>
    <w:p>
      <w:pPr>
        <w:pStyle w:val="style0"/>
        <w:jc w:val="right"/>
      </w:pPr>
      <w:r>
        <w:rPr>
          <w:rFonts w:ascii="Book Antiqua" w:hAnsi="Book Antiqua"/>
        </w:rPr>
        <w:t xml:space="preserve">(blog Marco Vitale </w:t>
      </w:r>
      <w:r>
        <w:rPr>
          <w:rFonts w:ascii="Book Antiqua" w:hAnsi="Book Antiqua"/>
          <w:i/>
        </w:rPr>
        <w:t>Mala tempora)</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r>
    </w:p>
    <w:p>
      <w:pPr>
        <w:pStyle w:val="style0"/>
        <w:spacing w:after="200" w:before="0"/>
        <w:jc w:val="center"/>
      </w:pPr>
      <w:r>
        <w:rPr/>
      </w:r>
    </w:p>
    <w:sectPr>
      <w:footerReference r:id="rId5" w:type="default"/>
      <w:footnotePr>
        <w:numFmt w:val="decimal"/>
      </w:footnotePr>
      <w:type w:val="nextPage"/>
      <w:pgSz w:h="16838" w:w="11906"/>
      <w:pgMar w:bottom="1134" w:footer="708" w:gutter="0" w:header="0" w:left="1134" w:right="1134" w:top="1417"/>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jc w:val="right"/>
    </w:pPr>
    <w:r>
      <w:rPr/>
      <w:fldChar w:fldCharType="begin"/>
    </w:r>
    <w:r>
      <w:instrText> PAGE </w:instrText>
    </w:r>
    <w:r>
      <w:fldChar w:fldCharType="separate"/>
    </w:r>
    <w:r/>
    <w:r>
      <w:fldChar w:fldCharType="end"/>
    </w:r>
  </w:p>
  <w:p>
    <w:pPr>
      <w:pStyle w:val="style33"/>
    </w:pPr>
    <w:r>
      <w:rPr/>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33"/>
      </w:pPr>
      <w:r>
        <w:rPr>
          <w:rStyle w:val="style22"/>
          <w:rFonts w:cs="Times New Roman" w:eastAsia="Calibri"/>
        </w:rPr>
        <w:footnoteRef/>
        <w:tab/>
      </w:r>
      <w:r>
        <w:rPr>
          <w:rStyle w:val="style22"/>
          <w:rFonts w:cs="Times New Roman" w:eastAsia="Calibri"/>
        </w:rPr>
        <w:tab/>
      </w:r>
      <w:r>
        <w:rPr>
          <w:rFonts w:cs="Times New Roman" w:eastAsia="Calibri"/>
        </w:rPr>
        <w:t xml:space="preserve"> Questo “rischio” del CESE è invece un auspicio della Banca d’Italia  e del Presidente del Consiglio </w:t>
      </w:r>
    </w:p>
  </w:footnote>
</w:footnotes>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Predefinito"/>
    <w:next w:val="style0"/>
    <w:pPr>
      <w:widowControl/>
      <w:tabs>
        <w:tab w:leader="none" w:pos="708" w:val="left"/>
      </w:tabs>
      <w:suppressAutoHyphens w:val="true"/>
      <w:spacing w:after="200" w:before="0" w:line="276" w:lineRule="auto"/>
    </w:pPr>
    <w:rPr>
      <w:rFonts w:ascii="Calibri" w:cs="Calibri" w:eastAsia="Droid Sans Fallback" w:hAnsi="Calibri"/>
      <w:color w:val="00000A"/>
      <w:sz w:val="22"/>
      <w:szCs w:val="22"/>
      <w:lang w:bidi="ar-SA" w:eastAsia="en-US" w:val="it-IT"/>
    </w:rPr>
  </w:style>
  <w:style w:styleId="style15" w:type="character">
    <w:name w:val="Default Paragraph Font"/>
    <w:next w:val="style15"/>
    <w:rPr/>
  </w:style>
  <w:style w:styleId="style16" w:type="character">
    <w:name w:val="Collegamento Internet"/>
    <w:basedOn w:val="style15"/>
    <w:next w:val="style16"/>
    <w:rPr>
      <w:color w:val="0000FF"/>
      <w:u w:val="single"/>
      <w:lang w:bidi="it-IT" w:eastAsia="it-IT" w:val="it-IT"/>
    </w:rPr>
  </w:style>
  <w:style w:styleId="style17" w:type="character">
    <w:name w:val="Intestazione Carattere"/>
    <w:basedOn w:val="style15"/>
    <w:next w:val="style17"/>
    <w:rPr/>
  </w:style>
  <w:style w:styleId="style18" w:type="character">
    <w:name w:val="Piè di pagina Carattere"/>
    <w:basedOn w:val="style15"/>
    <w:next w:val="style18"/>
    <w:rPr/>
  </w:style>
  <w:style w:styleId="style19" w:type="character">
    <w:name w:val="Character Style 1"/>
    <w:next w:val="style19"/>
    <w:rPr>
      <w:sz w:val="20"/>
      <w:szCs w:val="20"/>
    </w:rPr>
  </w:style>
  <w:style w:styleId="style20" w:type="character">
    <w:name w:val="Character Style 2"/>
    <w:next w:val="style20"/>
    <w:rPr>
      <w:sz w:val="23"/>
      <w:szCs w:val="23"/>
    </w:rPr>
  </w:style>
  <w:style w:styleId="style21" w:type="character">
    <w:name w:val="Character Style 3"/>
    <w:next w:val="style21"/>
    <w:rPr>
      <w:sz w:val="22"/>
      <w:szCs w:val="22"/>
    </w:rPr>
  </w:style>
  <w:style w:styleId="style22" w:type="character">
    <w:name w:val="footnote reference"/>
    <w:next w:val="style22"/>
    <w:rPr>
      <w:rFonts w:ascii="Times New Roman" w:hAnsi="Times New Roman"/>
      <w:sz w:val="20"/>
      <w:vertAlign w:val="superscript"/>
    </w:rPr>
  </w:style>
  <w:style w:styleId="style23" w:type="character">
    <w:name w:val="Richiamo di nota"/>
    <w:next w:val="style23"/>
    <w:rPr>
      <w:vertAlign w:val="superscript"/>
    </w:rPr>
  </w:style>
  <w:style w:styleId="style24" w:type="character">
    <w:name w:val="Richiamo di nota di chiusura"/>
    <w:next w:val="style24"/>
    <w:rPr>
      <w:vertAlign w:val="superscript"/>
    </w:rPr>
  </w:style>
  <w:style w:styleId="style25" w:type="character">
    <w:name w:val="Carattere della nota"/>
    <w:next w:val="style25"/>
    <w:rPr/>
  </w:style>
  <w:style w:styleId="style26" w:type="character">
    <w:name w:val="Carattere nota di chiusura"/>
    <w:next w:val="style26"/>
    <w:rPr/>
  </w:style>
  <w:style w:styleId="style27" w:type="paragraph">
    <w:name w:val="Intestazione"/>
    <w:basedOn w:val="style0"/>
    <w:next w:val="style28"/>
    <w:pPr>
      <w:keepNext/>
      <w:spacing w:after="120" w:before="240"/>
    </w:pPr>
    <w:rPr>
      <w:rFonts w:ascii="Liberation Sans" w:cs="FreeSans" w:eastAsia="Droid Sans Fallback" w:hAnsi="Liberation Sans"/>
      <w:sz w:val="28"/>
      <w:szCs w:val="28"/>
    </w:rPr>
  </w:style>
  <w:style w:styleId="style28" w:type="paragraph">
    <w:name w:val="Corpo testo"/>
    <w:basedOn w:val="style0"/>
    <w:next w:val="style28"/>
    <w:pPr>
      <w:spacing w:after="120" w:before="0"/>
    </w:pPr>
    <w:rPr/>
  </w:style>
  <w:style w:styleId="style29" w:type="paragraph">
    <w:name w:val="Elenco"/>
    <w:basedOn w:val="style28"/>
    <w:next w:val="style29"/>
    <w:pPr/>
    <w:rPr>
      <w:rFonts w:cs="FreeSans"/>
    </w:rPr>
  </w:style>
  <w:style w:styleId="style30" w:type="paragraph">
    <w:name w:val="Didascalia"/>
    <w:basedOn w:val="style0"/>
    <w:next w:val="style30"/>
    <w:pPr>
      <w:suppressLineNumbers/>
      <w:spacing w:after="120" w:before="120"/>
    </w:pPr>
    <w:rPr>
      <w:rFonts w:cs="FreeSans"/>
      <w:i/>
      <w:iCs/>
      <w:sz w:val="24"/>
      <w:szCs w:val="24"/>
    </w:rPr>
  </w:style>
  <w:style w:styleId="style31" w:type="paragraph">
    <w:name w:val="Indice"/>
    <w:basedOn w:val="style0"/>
    <w:next w:val="style31"/>
    <w:pPr>
      <w:suppressLineNumbers/>
    </w:pPr>
    <w:rPr>
      <w:rFonts w:cs="FreeSans"/>
    </w:rPr>
  </w:style>
  <w:style w:styleId="style32" w:type="paragraph">
    <w:name w:val="Riga d'intestazione"/>
    <w:basedOn w:val="style0"/>
    <w:next w:val="style32"/>
    <w:pPr>
      <w:suppressLineNumbers/>
      <w:tabs>
        <w:tab w:leader="none" w:pos="4819" w:val="center"/>
        <w:tab w:leader="none" w:pos="9638" w:val="right"/>
      </w:tabs>
      <w:spacing w:after="0" w:before="0" w:line="100" w:lineRule="atLeast"/>
    </w:pPr>
    <w:rPr/>
  </w:style>
  <w:style w:styleId="style33" w:type="paragraph">
    <w:name w:val="Piè di pagina"/>
    <w:basedOn w:val="style0"/>
    <w:next w:val="style33"/>
    <w:pPr>
      <w:suppressLineNumbers/>
      <w:tabs>
        <w:tab w:leader="none" w:pos="4819" w:val="center"/>
        <w:tab w:leader="none" w:pos="9638" w:val="right"/>
      </w:tabs>
      <w:spacing w:after="0" w:before="0" w:line="100" w:lineRule="atLeast"/>
    </w:pPr>
    <w:rPr/>
  </w:style>
  <w:style w:styleId="style34" w:type="paragraph">
    <w:name w:val="Titoli paragrafi-corsivi"/>
    <w:basedOn w:val="style0"/>
    <w:next w:val="style34"/>
    <w:pPr>
      <w:widowControl w:val="false"/>
      <w:tabs>
        <w:tab w:leader="none" w:pos="1191" w:val="left"/>
      </w:tabs>
      <w:spacing w:after="0" w:before="0" w:line="228" w:lineRule="auto"/>
      <w:ind w:hanging="397" w:left="397" w:right="0"/>
      <w:jc w:val="both"/>
    </w:pPr>
    <w:rPr>
      <w:rFonts w:ascii="Times New Roman" w:cs="Times New Roman" w:eastAsia="Times New Roman" w:hAnsi="Times New Roman"/>
      <w:i/>
      <w:sz w:val="24"/>
      <w:szCs w:val="21"/>
      <w:lang w:eastAsia="it-IT"/>
    </w:rPr>
  </w:style>
  <w:style w:styleId="style35" w:type="paragraph">
    <w:name w:val="Nota a piè pagina"/>
    <w:basedOn w:val="style0"/>
    <w:next w:val="style35"/>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ortaaporta.rai.it/puntata/matteo-renzi-a-porta-a-porta-2/" TargetMode="External"/><Relationship Id="rId3" Type="http://schemas.openxmlformats.org/officeDocument/2006/relationships/hyperlink" Target="http://www.marcovitale.it/" TargetMode="External"/><Relationship Id="rId4" Type="http://schemas.openxmlformats.org/officeDocument/2006/relationships/hyperlink" Target="http://www.reset.it/" TargetMode="Externa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2016-02-02T14:48:00.00Z</dcterms:created>
  <dc:creator>Patrizia PZ. Zecchin</dc:creator>
  <cp:lastModifiedBy>Patrizia PZ. Zecchin</cp:lastModifiedBy>
  <cp:lastPrinted>2016-02-02T13:35:00.00Z</cp:lastPrinted>
  <dcterms:modified xsi:type="dcterms:W3CDTF">2016-02-02T14:48:00.00Z</dcterms:modified>
  <cp:revision>2</cp:revision>
</cp:coreProperties>
</file>