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30"/>
          <w:szCs w:val="30"/>
        </w:rPr>
      </w:pPr>
      <w:r>
        <w:rPr>
          <w:b/>
          <w:bCs/>
          <w:sz w:val="30"/>
          <w:szCs w:val="30"/>
        </w:rPr>
        <w:t>ICAN - La campagna per il TPAN - www.icanw.org</w:t>
      </w:r>
    </w:p>
    <w:p>
      <w:pPr>
        <w:pStyle w:val="Normal"/>
        <w:rPr/>
      </w:pPr>
      <w:r>
        <w:rPr/>
      </w:r>
    </w:p>
    <w:p>
      <w:pPr>
        <w:pStyle w:val="Normal"/>
        <w:rPr/>
      </w:pPr>
      <w:r>
        <w:rPr>
          <w:b/>
          <w:bCs/>
        </w:rPr>
        <w:t xml:space="preserve">ICAN </w:t>
      </w:r>
      <w:r>
        <w:rPr>
          <w:rFonts w:eastAsia="Arial" w:cs="Arial"/>
          <w:b/>
          <w:bCs/>
          <w:sz w:val="22"/>
          <w:szCs w:val="22"/>
        </w:rPr>
        <w:t>(International Campaign to Abolish Nuclear Weapons)</w:t>
      </w:r>
      <w:r>
        <w:rPr>
          <w:rFonts w:eastAsia="Arial" w:cs="Arial"/>
          <w:sz w:val="22"/>
          <w:szCs w:val="22"/>
        </w:rPr>
        <w:t xml:space="preserve"> </w:t>
      </w:r>
      <w:r>
        <w:rPr/>
        <w:t xml:space="preserve">è una coalizione di organizzazioni non governative presenti in 100 paesi, che promuovono l'adesione e l'attuazione del trattato di messa al bando delle armi nucleari adottato da una conferenza dell’ONU. </w:t>
      </w:r>
    </w:p>
    <w:p>
      <w:pPr>
        <w:pStyle w:val="NormalWeb"/>
        <w:spacing w:beforeAutospacing="0" w:before="240" w:afterAutospacing="0" w:after="240"/>
        <w:textAlignment w:val="baseline"/>
        <w:rPr>
          <w:rFonts w:ascii="Arial" w:hAnsi="Arial" w:eastAsia="Arial" w:cs="Arial"/>
          <w:sz w:val="22"/>
          <w:szCs w:val="22"/>
        </w:rPr>
      </w:pPr>
      <w:r>
        <w:rPr>
          <w:rFonts w:eastAsia="Arial" w:cs="Arial" w:ascii="Arial" w:hAnsi="Arial"/>
          <w:sz w:val="22"/>
          <w:szCs w:val="22"/>
        </w:rPr>
        <w:t xml:space="preserve">Il 22 gennaio 2021 è entrato in vigore a livello mondiale e senza limiti </w:t>
      </w:r>
      <w:r>
        <w:rPr>
          <w:rFonts w:eastAsia="Arial" w:cs="Arial" w:ascii="Arial" w:hAnsi="Arial"/>
          <w:sz w:val="22"/>
          <w:szCs w:val="22"/>
        </w:rPr>
        <w:t xml:space="preserve">temporali </w:t>
      </w:r>
      <w:r>
        <w:rPr>
          <w:rFonts w:eastAsia="Arial" w:cs="Arial" w:ascii="Arial" w:hAnsi="Arial"/>
          <w:sz w:val="22"/>
          <w:szCs w:val="22"/>
        </w:rPr>
        <w:t xml:space="preserve">di validità il </w:t>
      </w:r>
      <w:r>
        <w:rPr>
          <w:rFonts w:eastAsia="Arial" w:cs="Arial" w:ascii="Arial" w:hAnsi="Arial"/>
          <w:b/>
          <w:bCs/>
          <w:sz w:val="22"/>
          <w:szCs w:val="22"/>
        </w:rPr>
        <w:t>TPAN - Trattato ONU di Proibizione delle Armi Nucleari</w:t>
      </w:r>
      <w:r>
        <w:rPr>
          <w:rFonts w:eastAsia="Arial" w:cs="Arial" w:ascii="Arial" w:hAnsi="Arial"/>
          <w:sz w:val="22"/>
          <w:szCs w:val="22"/>
        </w:rPr>
        <w:t>, grazie al tenace lavoro della Campagna Internazionale per l’Abolizione delle Armi Nucleari ; tale brillante iniziativa, le valse il Premio Nobel per la Pace nel 2017, uno dei tanti tasselli del lavoro e del percorso per la pace del XXI secolo.</w:t>
      </w:r>
    </w:p>
    <w:p>
      <w:pPr>
        <w:pStyle w:val="Normal"/>
        <w:rPr/>
      </w:pPr>
      <w:r>
        <w:rPr/>
        <w:t xml:space="preserve">Il trattato è stato negoziato presso la sede delle Nazioni Unite a New York a marzo, giugno e luglio 2017, con la partecipazione di oltre 135 nazioni, nonché membri della società civile. È stato aperto alla firma il 20 settembre 2017. È di natura permanente e sarà legalmente vincolante per le nazioni che vi aderiranno. Attualmente ci sono 86 firmatari e 65 ratifiche </w:t>
      </w:r>
      <w:r>
        <w:rPr/>
        <w:t>(N.B. per il completamento della procedura occorre sia firmare che ratificare)</w:t>
      </w:r>
      <w:r>
        <w:rPr/>
        <w:t>.</w:t>
      </w:r>
    </w:p>
    <w:p>
      <w:pPr>
        <w:pStyle w:val="Normal"/>
        <w:rPr/>
      </w:pPr>
      <w:r>
        <w:rPr/>
      </w:r>
    </w:p>
    <w:p>
      <w:pPr>
        <w:pStyle w:val="Normal"/>
        <w:rPr/>
      </w:pPr>
      <w:r>
        <w:rPr/>
        <w:t>L'ICAN è nata in Australia ed è stat</w:t>
      </w:r>
      <w:r>
        <w:rPr/>
        <w:t>a</w:t>
      </w:r>
      <w:r>
        <w:rPr/>
        <w:t xml:space="preserve"> lanciata formalmente in Austria nell'aprile 2007. </w:t>
      </w:r>
    </w:p>
    <w:p>
      <w:pPr>
        <w:pStyle w:val="Normal"/>
        <w:rPr/>
      </w:pPr>
      <w:r>
        <w:rPr/>
        <w:t xml:space="preserve">I fondatori della campagna sono stati ispirati dall'enorme successo della Campagna internazionale per vietare le mine antiuomo, che un decennio prima aveva svolto un ruolo determinante nella negoziazione del trattato di Ottawa. </w:t>
      </w:r>
    </w:p>
    <w:p>
      <w:pPr>
        <w:pStyle w:val="Normal"/>
        <w:rPr/>
      </w:pPr>
      <w:r>
        <w:rPr/>
        <w:t>Sin dalla fondazione, hanno lavorato per creare una potente ondata globale di sostegno pubblico per l'abolizione delle armi nucleari. Coinvolgendo una vasta gamma di gruppi e lavorando a fianco della Croce Rossa e di governi che appoggiano tale iniziativa, hanno contribuito a rimodellare il dibattito sulle armi nucleari e a generare slancio verso la loro eliminazione.</w:t>
      </w:r>
    </w:p>
    <w:p>
      <w:pPr>
        <w:pStyle w:val="Normal"/>
        <w:rPr/>
      </w:pPr>
      <w:r>
        <w:rPr/>
      </w:r>
    </w:p>
    <w:p>
      <w:pPr>
        <w:pStyle w:val="Normal"/>
        <w:rPr/>
      </w:pPr>
      <w:r>
        <w:rPr/>
        <w:t>ICAN ha ricevuto il Premio Nobel per la Pace 2017 essendo riuscita a "porre un'adeguata attenzione sulle catastrofiche conseguenze umanitarie di un qualsiasi uso di tali armi di distruzione di massa" e per gli "sforzi rivoluzionari con i quali si è giunti ad un divieto basato su un trattato internazionale".</w:t>
      </w:r>
    </w:p>
    <w:p>
      <w:pPr>
        <w:pStyle w:val="NormalWeb"/>
        <w:spacing w:beforeAutospacing="0" w:before="240" w:afterAutospacing="0" w:after="240"/>
        <w:textAlignment w:val="baseline"/>
        <w:rPr>
          <w:rFonts w:ascii="Arial" w:hAnsi="Arial" w:eastAsia="Arial" w:cs="Arial"/>
          <w:sz w:val="22"/>
          <w:szCs w:val="22"/>
        </w:rPr>
      </w:pPr>
      <w:r>
        <w:rPr>
          <w:rFonts w:eastAsia="Arial" w:cs="Arial" w:ascii="Arial" w:hAnsi="Arial"/>
          <w:sz w:val="22"/>
          <w:szCs w:val="22"/>
        </w:rPr>
        <w:t>Un’autentica svolta per l’umanità. uno dei più grandi traguardi e successi del pacifismo mondiale.</w:t>
      </w:r>
    </w:p>
    <w:p>
      <w:pPr>
        <w:pStyle w:val="NormalWeb"/>
        <w:spacing w:beforeAutospacing="0" w:before="240" w:afterAutospacing="0" w:after="240"/>
        <w:textAlignment w:val="baseline"/>
        <w:rPr>
          <w:b/>
          <w:b/>
          <w:bCs/>
        </w:rPr>
      </w:pPr>
      <w:r>
        <w:rPr>
          <w:rFonts w:eastAsia="Arial" w:cs="Arial" w:ascii="Arial" w:hAnsi="Arial"/>
          <w:b/>
          <w:bCs/>
          <w:sz w:val="22"/>
          <w:szCs w:val="22"/>
        </w:rPr>
        <w:t>Il Trattato ONU TPAN è la pietra miliare del diritto internazionale: è una speranza per evitare di far precipitare tutti noi, l'intera umanità, nella catastrofe irreversibile della guerra nucleare.</w:t>
      </w:r>
    </w:p>
    <w:p>
      <w:pPr>
        <w:pStyle w:val="Normal"/>
        <w:rPr/>
      </w:pPr>
      <w:r>
        <w:rPr/>
        <w:t>Per questo motivo sono state organizzat</w:t>
      </w:r>
      <w:r>
        <w:rPr/>
        <w:t>i</w:t>
      </w:r>
      <w:r>
        <w:rPr/>
        <w:t xml:space="preserve"> dal 18 al 23 Giugno tre differenti eventi per trattare i seguenti temi:</w:t>
      </w:r>
    </w:p>
    <w:p>
      <w:pPr>
        <w:pStyle w:val="Normal"/>
        <w:rPr/>
      </w:pPr>
      <w:r>
        <w:rPr/>
      </w:r>
    </w:p>
    <w:p>
      <w:pPr>
        <w:pStyle w:val="ListParagraph"/>
        <w:numPr>
          <w:ilvl w:val="0"/>
          <w:numId w:val="2"/>
        </w:numPr>
        <w:rPr/>
      </w:pPr>
      <w:r>
        <w:rPr/>
        <w:t>"NUCLEAR BAN WEEK" con i due giorni del forum di ICAN dal 18 al 19 Giugno;</w:t>
      </w:r>
    </w:p>
    <w:p>
      <w:pPr>
        <w:pStyle w:val="ListParagraph"/>
        <w:numPr>
          <w:ilvl w:val="0"/>
          <w:numId w:val="2"/>
        </w:numPr>
        <w:rPr/>
      </w:pPr>
      <w:r>
        <w:rPr/>
        <w:t>Conferenza scientifica del 20 giugno organizzata dal Governo austriaco invitando tutti i Paesi del mondo;</w:t>
      </w:r>
    </w:p>
    <w:p>
      <w:pPr>
        <w:pStyle w:val="ListParagraph"/>
        <w:numPr>
          <w:ilvl w:val="0"/>
          <w:numId w:val="2"/>
        </w:numPr>
        <w:rPr/>
      </w:pPr>
      <w:r>
        <w:rPr/>
        <w:t>Prima Conferenza degli Stati che hanno già ratificato il trattato dal 21 al 23 giugno organizzata dall’ONU e che si riuniscono per revisionare lo stesso (TPAN - Trattato di proibizione delle armi nucleari).</w:t>
      </w:r>
    </w:p>
    <w:p>
      <w:pPr>
        <w:pStyle w:val="Normal"/>
        <w:rPr/>
      </w:pPr>
      <w:r>
        <w:rPr/>
      </w:r>
    </w:p>
    <w:p>
      <w:pPr>
        <w:pStyle w:val="Normal"/>
        <w:rPr/>
      </w:pPr>
      <w:r>
        <w:rPr/>
        <w:t>In particolari sono stati trattati i seguenti temi:</w:t>
      </w:r>
    </w:p>
    <w:p>
      <w:pPr>
        <w:pStyle w:val="Normal"/>
        <w:rPr/>
      </w:pPr>
      <w:r>
        <w:rPr/>
      </w:r>
    </w:p>
    <w:p>
      <w:pPr>
        <w:pStyle w:val="ListParagraph"/>
        <w:numPr>
          <w:ilvl w:val="0"/>
          <w:numId w:val="1"/>
        </w:numPr>
        <w:rPr/>
      </w:pPr>
      <w:r>
        <w:rPr/>
        <w:t>Stato dell’arte del trattato (implementazione, aiuti alle vittime dei test nucleari post Seconda guerra mondiale, attuale livello di radioattività nelle aree che furono soggette a pesanti test nucleari, come le aree del Pacifico, degli USA, della Federazione Russa, ecc., passi successivi per coinvolgere tutti i Paesi che si riconoscono nel trattato di non proliferazione delle armi nucleari -TNP - e/o i Paesi refrattari);</w:t>
      </w:r>
    </w:p>
    <w:p>
      <w:pPr>
        <w:pStyle w:val="ListParagraph"/>
        <w:numPr>
          <w:ilvl w:val="0"/>
          <w:numId w:val="1"/>
        </w:numPr>
        <w:rPr/>
      </w:pPr>
      <w:r>
        <w:rPr/>
        <w:t>Impatti socioeconomico delle armi nucleari, evidenziando le enormi spese militari assegnate per la loro manutenzione e per lo sviluppo di armamenti di nuova generazione;</w:t>
      </w:r>
    </w:p>
    <w:p>
      <w:pPr>
        <w:pStyle w:val="ListParagraph"/>
        <w:numPr>
          <w:ilvl w:val="0"/>
          <w:numId w:val="1"/>
        </w:numPr>
        <w:rPr/>
      </w:pPr>
      <w:r>
        <w:rPr/>
        <w:t>Intreccio tra crisi ecologico-climatica e minaccia nucleare per rimodulare le spese mondiali a favore della lotta contro i cambiamenti climatici;</w:t>
      </w:r>
    </w:p>
    <w:p>
      <w:pPr>
        <w:pStyle w:val="ListParagraph"/>
        <w:numPr>
          <w:ilvl w:val="0"/>
          <w:numId w:val="1"/>
        </w:numPr>
        <w:rPr/>
      </w:pPr>
      <w:r>
        <w:rPr/>
        <w:t>Rischi di un incidente nucleare e conseguenze sulla salute delle popolazioni coinvolte;</w:t>
      </w:r>
    </w:p>
    <w:p>
      <w:pPr>
        <w:pStyle w:val="ListParagraph"/>
        <w:numPr>
          <w:ilvl w:val="0"/>
          <w:numId w:val="1"/>
        </w:numPr>
        <w:rPr/>
      </w:pPr>
      <w:r>
        <w:rPr/>
        <w:t>Stretta dipendenza tra la detenzione di armamenti nucleari e le numerose Guerre occorse dopo la fine della Seconda guerra mondiale od in corso d’opera (non ultima l’attuale Guerra in Ucraina)</w:t>
      </w:r>
    </w:p>
    <w:p>
      <w:pPr>
        <w:pStyle w:val="ListParagraph"/>
        <w:numPr>
          <w:ilvl w:val="0"/>
          <w:numId w:val="1"/>
        </w:numPr>
        <w:rPr/>
      </w:pPr>
      <w:r>
        <w:rPr/>
        <w:t>Videoconferenza tra l'obiettore ucraino Yurii Sheliazenko e l'obiettore russo Oleg Boldrov.</w:t>
      </w:r>
    </w:p>
    <w:p>
      <w:pPr>
        <w:pStyle w:val="ListParagraph"/>
        <w:numPr>
          <w:ilvl w:val="0"/>
          <w:numId w:val="1"/>
        </w:numPr>
        <w:rPr/>
      </w:pPr>
      <w:r>
        <w:rPr/>
        <w:t>Sviluppo della neutralità dei Paesi Europei come risposta all’attuale polarizzazione della geo-politica mondiale.</w:t>
      </w:r>
    </w:p>
    <w:p>
      <w:pPr>
        <w:pStyle w:val="Normal"/>
        <w:rPr/>
      </w:pPr>
      <w:r>
        <w:rPr/>
      </w:r>
    </w:p>
    <w:p>
      <w:pPr>
        <w:pStyle w:val="Normal"/>
        <w:rPr/>
      </w:pPr>
      <w:r>
        <w:rPr/>
        <w:t>Per tutti coloro che desiderano approfondire il tema, aggiung</w:t>
      </w:r>
      <w:r>
        <w:rPr/>
        <w:t>iam</w:t>
      </w:r>
      <w:r>
        <w:rPr/>
        <w:t xml:space="preserve">o alcuni link interessanti </w:t>
      </w:r>
      <w:r>
        <w:rPr/>
        <w:t xml:space="preserve">a dei video che mostrano </w:t>
      </w:r>
      <w:r>
        <w:rPr/>
        <w:t xml:space="preserve">come si e ‘giunti a dar vita al trattato </w:t>
      </w:r>
      <w:r>
        <w:rPr/>
        <w:t xml:space="preserve">e evidenziano </w:t>
      </w:r>
      <w:r>
        <w:rPr/>
        <w:t xml:space="preserve"> gli impatti umanitari delle esplosioni nucleari con il conseguente “inverno nucleare” (si tratta dello stesso contenuto </w:t>
      </w:r>
      <w:r>
        <w:rPr/>
        <w:t>esposto sempre più sinteticamente, avvisiamo che in quello esteso ci sono immagini “forti”</w:t>
      </w:r>
      <w:r>
        <w:rPr/>
        <w:t>):</w:t>
      </w:r>
    </w:p>
    <w:p>
      <w:pPr>
        <w:pStyle w:val="Normal"/>
        <w:rPr/>
      </w:pPr>
      <w:r>
        <w:rPr/>
      </w:r>
    </w:p>
    <w:p>
      <w:pPr>
        <w:pStyle w:val="Normal"/>
        <w:rPr/>
      </w:pPr>
      <w:hyperlink r:id="rId2">
        <w:r>
          <w:rPr>
            <w:rStyle w:val="CollegamentoInternet"/>
            <w:rFonts w:cs="Times New Roman" w:ascii="Times New Roman" w:hAnsi="Times New Roman"/>
            <w:sz w:val="24"/>
            <w:szCs w:val="24"/>
          </w:rPr>
          <w:t>https://www.youtube.com/watch?v=Z0Rg1UJ3xpg</w:t>
        </w:r>
      </w:hyperlink>
      <w:r>
        <w:rPr/>
        <w:tab/>
        <w:tab/>
        <w:t>durata (55:41)</w:t>
      </w:r>
    </w:p>
    <w:p>
      <w:pPr>
        <w:pStyle w:val="Normal"/>
        <w:rPr/>
      </w:pPr>
      <w:hyperlink r:id="rId3">
        <w:r>
          <w:rPr>
            <w:rStyle w:val="CollegamentoInternet"/>
            <w:rFonts w:cs="Times New Roman" w:ascii="Times New Roman" w:hAnsi="Times New Roman"/>
            <w:sz w:val="24"/>
            <w:szCs w:val="24"/>
          </w:rPr>
          <w:t>https://www.youtube.com/watch?v=e6SuU9P5vnc</w:t>
        </w:r>
      </w:hyperlink>
      <w:r>
        <w:rPr/>
        <w:t xml:space="preserve"> </w:t>
        <w:tab/>
        <w:tab/>
        <w:t>durata (12:05)</w:t>
      </w:r>
    </w:p>
    <w:p>
      <w:pPr>
        <w:pStyle w:val="Normal"/>
        <w:rPr/>
      </w:pPr>
      <w:hyperlink r:id="rId4">
        <w:r>
          <w:rPr>
            <w:rStyle w:val="CollegamentoInternet"/>
            <w:rFonts w:cs="Times New Roman" w:ascii="Times New Roman" w:hAnsi="Times New Roman"/>
            <w:sz w:val="24"/>
            <w:szCs w:val="24"/>
          </w:rPr>
          <w:t>https://www.youtube.com/watch?v=UhQMGASqScY</w:t>
        </w:r>
      </w:hyperlink>
      <w:r>
        <w:rPr/>
        <w:t xml:space="preserve"> </w:t>
        <w:tab/>
        <w:t>durata (02:18)</w:t>
      </w:r>
    </w:p>
    <w:p>
      <w:pPr>
        <w:pStyle w:val="Normal"/>
        <w:rPr/>
      </w:pPr>
      <w:r>
        <w:rPr/>
      </w:r>
      <w:r>
        <w:br w:type="page"/>
      </w:r>
    </w:p>
    <w:p>
      <w:pPr>
        <w:pStyle w:val="NormalWeb"/>
        <w:spacing w:beforeAutospacing="0" w:before="240" w:afterAutospacing="0" w:after="240"/>
        <w:textAlignment w:val="baseline"/>
        <w:rPr>
          <w:b/>
          <w:b/>
          <w:bCs/>
          <w:sz w:val="40"/>
          <w:szCs w:val="40"/>
        </w:rPr>
      </w:pPr>
      <w:r>
        <w:rPr>
          <w:rFonts w:eastAsia="Arial" w:cs="Arial" w:ascii="Arial" w:hAnsi="Arial"/>
          <w:b/>
          <w:bCs/>
          <w:sz w:val="40"/>
          <w:szCs w:val="40"/>
        </w:rPr>
        <w:t>Di seguito la lista dei Paesi, divisi per continente, che al 20.06.2022 hanno ratificato il TPAN:</w:t>
      </w:r>
    </w:p>
    <w:p>
      <w:pPr>
        <w:pStyle w:val="Titolo4"/>
        <w:shd w:val="clear" w:color="auto" w:fill="FFFFFF"/>
        <w:spacing w:before="0" w:after="0"/>
        <w:rPr>
          <w:color w:val="auto"/>
          <w:sz w:val="33"/>
          <w:szCs w:val="33"/>
        </w:rPr>
      </w:pPr>
      <w:r>
        <w:rPr>
          <w:rStyle w:val="Strong"/>
          <w:color w:val="auto"/>
          <w:sz w:val="33"/>
          <w:szCs w:val="33"/>
        </w:rPr>
        <w:t>EUROPA</w:t>
      </w:r>
      <w:r>
        <w:rPr>
          <w:rStyle w:val="Strong"/>
          <w:b w:val="false"/>
          <w:bCs w:val="false"/>
          <w:color w:val="auto"/>
          <w:sz w:val="33"/>
          <w:szCs w:val="33"/>
        </w:rPr>
        <w:t xml:space="preserve"> – 05 PAESI HANNO RATIFICATO IL TRATTATO</w:t>
      </w:r>
    </w:p>
    <w:tbl>
      <w:tblPr>
        <w:tblW w:w="9796" w:type="dxa"/>
        <w:jc w:val="left"/>
        <w:tblInd w:w="0" w:type="dxa"/>
        <w:tblLayout w:type="fixed"/>
        <w:tblCellMar>
          <w:top w:w="150" w:type="dxa"/>
          <w:left w:w="225" w:type="dxa"/>
          <w:bottom w:w="150" w:type="dxa"/>
          <w:right w:w="225" w:type="dxa"/>
        </w:tblCellMar>
        <w:tblLook w:val="04a0" w:noHBand="0" w:noVBand="1" w:firstColumn="1" w:lastRow="0" w:lastColumn="0" w:firstRow="1"/>
      </w:tblPr>
      <w:tblGrid>
        <w:gridCol w:w="3553"/>
        <w:gridCol w:w="2967"/>
        <w:gridCol w:w="3276"/>
      </w:tblGrid>
      <w:tr>
        <w:trPr>
          <w:trHeight w:val="315" w:hRule="atLeast"/>
        </w:trPr>
        <w:tc>
          <w:tcPr>
            <w:tcW w:w="3553"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Austria</w:t>
            </w:r>
          </w:p>
        </w:tc>
        <w:tc>
          <w:tcPr>
            <w:tcW w:w="2967"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Irlanda</w:t>
            </w:r>
          </w:p>
        </w:tc>
        <w:tc>
          <w:tcPr>
            <w:tcW w:w="3276"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R</w:t>
            </w:r>
            <w:r>
              <w:rPr>
                <w:rFonts w:eastAsia="Arial"/>
                <w:sz w:val="22"/>
                <w:szCs w:val="22"/>
                <w:lang w:val="en-IE"/>
              </w:rPr>
              <w:t xml:space="preserve">ep. </w:t>
            </w:r>
            <w:r>
              <w:rPr>
                <w:rFonts w:eastAsia="Arial" w:cs="Arial" w:ascii="Arial" w:hAnsi="Arial"/>
                <w:sz w:val="22"/>
                <w:szCs w:val="22"/>
                <w:lang w:val="en-IE"/>
              </w:rPr>
              <w:t>San Marino</w:t>
            </w:r>
          </w:p>
        </w:tc>
      </w:tr>
      <w:tr>
        <w:trPr>
          <w:trHeight w:val="298" w:hRule="atLeast"/>
        </w:trPr>
        <w:tc>
          <w:tcPr>
            <w:tcW w:w="3553"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Citta´ del Vaticano</w:t>
            </w:r>
          </w:p>
        </w:tc>
        <w:tc>
          <w:tcPr>
            <w:tcW w:w="2967"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Malta</w:t>
            </w:r>
          </w:p>
        </w:tc>
        <w:tc>
          <w:tcPr>
            <w:tcW w:w="3276"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Noto Sans" w:ascii="Noto Sans" w:hAnsi="Noto Sans"/>
                <w:color w:val="010101"/>
              </w:rPr>
            </w:r>
          </w:p>
        </w:tc>
      </w:tr>
    </w:tbl>
    <w:p>
      <w:pPr>
        <w:pStyle w:val="NormalWeb"/>
        <w:spacing w:beforeAutospacing="0" w:before="240" w:afterAutospacing="0" w:after="240"/>
        <w:textAlignment w:val="baseline"/>
        <w:rPr>
          <w:rFonts w:ascii="Arial" w:hAnsi="Arial" w:eastAsia="Arial" w:cs="Arial"/>
          <w:b/>
          <w:b/>
          <w:bCs/>
          <w:sz w:val="22"/>
          <w:szCs w:val="22"/>
        </w:rPr>
      </w:pPr>
      <w:r>
        <w:rPr>
          <w:rFonts w:eastAsia="Arial" w:cs="Arial" w:ascii="Arial" w:hAnsi="Arial"/>
          <w:b/>
          <w:bCs/>
          <w:sz w:val="22"/>
          <w:szCs w:val="22"/>
        </w:rPr>
      </w:r>
    </w:p>
    <w:p>
      <w:pPr>
        <w:pStyle w:val="Titolo4"/>
        <w:shd w:val="clear" w:color="auto" w:fill="FFFFFF"/>
        <w:spacing w:before="0" w:after="0"/>
        <w:rPr>
          <w:color w:val="auto"/>
          <w:sz w:val="33"/>
          <w:szCs w:val="33"/>
        </w:rPr>
      </w:pPr>
      <w:r>
        <w:rPr>
          <w:rStyle w:val="Strong"/>
          <w:color w:val="auto"/>
          <w:sz w:val="33"/>
          <w:szCs w:val="33"/>
        </w:rPr>
        <w:t>ASIA</w:t>
      </w:r>
      <w:r>
        <w:rPr>
          <w:rStyle w:val="Strong"/>
          <w:b w:val="false"/>
          <w:bCs w:val="false"/>
          <w:color w:val="auto"/>
          <w:sz w:val="33"/>
          <w:szCs w:val="33"/>
        </w:rPr>
        <w:t xml:space="preserve"> – 12 PAESI HANNO RATIFICATO IL TRATTATO</w:t>
      </w:r>
    </w:p>
    <w:tbl>
      <w:tblPr>
        <w:tblW w:w="9768" w:type="dxa"/>
        <w:jc w:val="left"/>
        <w:tblInd w:w="0" w:type="dxa"/>
        <w:tblLayout w:type="fixed"/>
        <w:tblCellMar>
          <w:top w:w="150" w:type="dxa"/>
          <w:left w:w="225" w:type="dxa"/>
          <w:bottom w:w="150" w:type="dxa"/>
          <w:right w:w="225" w:type="dxa"/>
        </w:tblCellMar>
        <w:tblLook w:val="04a0" w:noHBand="0" w:noVBand="1" w:firstColumn="1" w:lastRow="0" w:lastColumn="0" w:firstRow="1"/>
      </w:tblPr>
      <w:tblGrid>
        <w:gridCol w:w="3552"/>
        <w:gridCol w:w="2996"/>
        <w:gridCol w:w="3220"/>
      </w:tblGrid>
      <w:tr>
        <w:trPr>
          <w:trHeight w:val="315" w:hRule="atLeast"/>
        </w:trPr>
        <w:tc>
          <w:tcPr>
            <w:tcW w:w="3552"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Bangladesh</w:t>
            </w:r>
          </w:p>
        </w:tc>
        <w:tc>
          <w:tcPr>
            <w:tcW w:w="2996"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Laos</w:t>
            </w:r>
          </w:p>
        </w:tc>
        <w:tc>
          <w:tcPr>
            <w:tcW w:w="322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Palestina</w:t>
            </w:r>
          </w:p>
        </w:tc>
      </w:tr>
      <w:tr>
        <w:trPr>
          <w:trHeight w:val="298" w:hRule="atLeast"/>
        </w:trPr>
        <w:tc>
          <w:tcPr>
            <w:tcW w:w="3552"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Cambogia</w:t>
            </w:r>
          </w:p>
        </w:tc>
        <w:tc>
          <w:tcPr>
            <w:tcW w:w="2996"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Malaysia</w:t>
            </w:r>
          </w:p>
        </w:tc>
        <w:tc>
          <w:tcPr>
            <w:tcW w:w="322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Tailandia</w:t>
            </w:r>
          </w:p>
        </w:tc>
      </w:tr>
      <w:tr>
        <w:trPr>
          <w:trHeight w:val="315" w:hRule="atLeast"/>
        </w:trPr>
        <w:tc>
          <w:tcPr>
            <w:tcW w:w="3552"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Filippine</w:t>
            </w:r>
          </w:p>
        </w:tc>
        <w:tc>
          <w:tcPr>
            <w:tcW w:w="2996"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Maldive</w:t>
            </w:r>
          </w:p>
        </w:tc>
        <w:tc>
          <w:tcPr>
            <w:tcW w:w="322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rPr>
              <w:t>Timor-Leste</w:t>
            </w:r>
          </w:p>
        </w:tc>
      </w:tr>
      <w:tr>
        <w:trPr>
          <w:trHeight w:val="315" w:hRule="atLeast"/>
        </w:trPr>
        <w:tc>
          <w:tcPr>
            <w:tcW w:w="3552"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Kazakhstan</w:t>
            </w:r>
          </w:p>
        </w:tc>
        <w:tc>
          <w:tcPr>
            <w:tcW w:w="2996"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Mongolia</w:t>
            </w:r>
          </w:p>
        </w:tc>
        <w:tc>
          <w:tcPr>
            <w:tcW w:w="322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rPr>
              <w:t>Vietnam</w:t>
            </w:r>
          </w:p>
        </w:tc>
      </w:tr>
    </w:tbl>
    <w:p>
      <w:pPr>
        <w:pStyle w:val="NormalWeb"/>
        <w:spacing w:beforeAutospacing="0" w:before="240" w:afterAutospacing="0" w:after="240"/>
        <w:textAlignment w:val="baseline"/>
        <w:rPr>
          <w:rFonts w:ascii="Arial" w:hAnsi="Arial" w:eastAsia="Arial" w:cs="Arial"/>
          <w:b/>
          <w:b/>
          <w:bCs/>
          <w:sz w:val="22"/>
          <w:szCs w:val="22"/>
        </w:rPr>
      </w:pPr>
      <w:r>
        <w:rPr>
          <w:rFonts w:eastAsia="Arial" w:cs="Arial" w:ascii="Arial" w:hAnsi="Arial"/>
          <w:b/>
          <w:bCs/>
          <w:sz w:val="22"/>
          <w:szCs w:val="22"/>
        </w:rPr>
      </w:r>
    </w:p>
    <w:p>
      <w:pPr>
        <w:pStyle w:val="Titolo4"/>
        <w:shd w:val="clear" w:color="auto" w:fill="FFFFFF"/>
        <w:spacing w:before="0" w:after="0"/>
        <w:rPr>
          <w:color w:val="auto"/>
          <w:sz w:val="33"/>
          <w:szCs w:val="33"/>
        </w:rPr>
      </w:pPr>
      <w:r>
        <w:rPr>
          <w:rStyle w:val="Strong"/>
          <w:color w:val="auto"/>
          <w:sz w:val="33"/>
          <w:szCs w:val="33"/>
        </w:rPr>
        <w:t>OCEANIA</w:t>
      </w:r>
      <w:r>
        <w:rPr>
          <w:rStyle w:val="Strong"/>
          <w:b w:val="false"/>
          <w:bCs w:val="false"/>
          <w:color w:val="auto"/>
          <w:sz w:val="33"/>
          <w:szCs w:val="33"/>
        </w:rPr>
        <w:t xml:space="preserve"> – 10 PAESI HANNO RATIFICATO IL TRATTATO</w:t>
      </w:r>
    </w:p>
    <w:tbl>
      <w:tblPr>
        <w:tblW w:w="9782" w:type="dxa"/>
        <w:jc w:val="left"/>
        <w:tblInd w:w="0" w:type="dxa"/>
        <w:tblLayout w:type="fixed"/>
        <w:tblCellMar>
          <w:top w:w="150" w:type="dxa"/>
          <w:left w:w="225" w:type="dxa"/>
          <w:bottom w:w="150" w:type="dxa"/>
          <w:right w:w="225" w:type="dxa"/>
        </w:tblCellMar>
        <w:tblLook w:val="04a0" w:noHBand="0" w:noVBand="1" w:firstColumn="1" w:lastRow="0" w:lastColumn="0" w:firstRow="1"/>
      </w:tblPr>
      <w:tblGrid>
        <w:gridCol w:w="3510"/>
        <w:gridCol w:w="3007"/>
        <w:gridCol w:w="3265"/>
      </w:tblGrid>
      <w:tr>
        <w:trPr>
          <w:trHeight w:val="315" w:hRule="atLeast"/>
        </w:trPr>
        <w:tc>
          <w:tcPr>
            <w:tcW w:w="351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Fiji</w:t>
            </w:r>
          </w:p>
        </w:tc>
        <w:tc>
          <w:tcPr>
            <w:tcW w:w="3007"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Nuova Zelanda</w:t>
            </w:r>
          </w:p>
        </w:tc>
        <w:tc>
          <w:tcPr>
            <w:tcW w:w="326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Tuvalu</w:t>
            </w:r>
          </w:p>
        </w:tc>
      </w:tr>
      <w:tr>
        <w:trPr>
          <w:trHeight w:val="295" w:hRule="atLeast"/>
        </w:trPr>
        <w:tc>
          <w:tcPr>
            <w:tcW w:w="351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Isole Cooks</w:t>
              <w:tab/>
            </w:r>
          </w:p>
        </w:tc>
        <w:tc>
          <w:tcPr>
            <w:tcW w:w="3007"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Niue</w:t>
            </w:r>
          </w:p>
        </w:tc>
        <w:tc>
          <w:tcPr>
            <w:tcW w:w="326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Vanuatu</w:t>
            </w:r>
          </w:p>
        </w:tc>
      </w:tr>
      <w:tr>
        <w:trPr>
          <w:trHeight w:val="315" w:hRule="atLeast"/>
        </w:trPr>
        <w:tc>
          <w:tcPr>
            <w:tcW w:w="3510"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Kiribati</w:t>
              <w:tab/>
            </w:r>
          </w:p>
        </w:tc>
        <w:tc>
          <w:tcPr>
            <w:tcW w:w="3007"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Palau</w:t>
            </w:r>
          </w:p>
        </w:tc>
        <w:tc>
          <w:tcPr>
            <w:tcW w:w="3265"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Noto Sans" w:ascii="Noto Sans" w:hAnsi="Noto Sans"/>
                <w:color w:val="010101"/>
              </w:rPr>
            </w:r>
          </w:p>
        </w:tc>
      </w:tr>
      <w:tr>
        <w:trPr>
          <w:trHeight w:val="315" w:hRule="atLeast"/>
        </w:trPr>
        <w:tc>
          <w:tcPr>
            <w:tcW w:w="351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Nauru</w:t>
            </w:r>
          </w:p>
        </w:tc>
        <w:tc>
          <w:tcPr>
            <w:tcW w:w="3007"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Samoa</w:t>
            </w:r>
          </w:p>
        </w:tc>
        <w:tc>
          <w:tcPr>
            <w:tcW w:w="326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r>
          </w:p>
        </w:tc>
      </w:tr>
    </w:tbl>
    <w:p>
      <w:pPr>
        <w:pStyle w:val="NormalWeb"/>
        <w:spacing w:beforeAutospacing="0" w:before="240" w:afterAutospacing="0" w:after="240"/>
        <w:textAlignment w:val="baseline"/>
        <w:rPr>
          <w:rFonts w:ascii="Arial" w:hAnsi="Arial" w:eastAsia="Arial" w:cs="Arial"/>
          <w:sz w:val="22"/>
          <w:szCs w:val="22"/>
        </w:rPr>
      </w:pPr>
      <w:r>
        <w:rPr>
          <w:rFonts w:eastAsia="Arial" w:cs="Arial" w:ascii="Arial" w:hAnsi="Arial"/>
          <w:sz w:val="22"/>
          <w:szCs w:val="22"/>
        </w:rPr>
      </w:r>
    </w:p>
    <w:p>
      <w:pPr>
        <w:pStyle w:val="Titolo4"/>
        <w:shd w:val="clear" w:color="auto" w:fill="FFFFFF"/>
        <w:spacing w:before="0" w:after="0"/>
        <w:rPr>
          <w:color w:val="auto"/>
          <w:sz w:val="33"/>
          <w:szCs w:val="33"/>
        </w:rPr>
      </w:pPr>
      <w:r>
        <w:rPr>
          <w:rStyle w:val="Strong"/>
          <w:color w:val="auto"/>
          <w:sz w:val="33"/>
          <w:szCs w:val="33"/>
        </w:rPr>
        <w:t>AFRICA</w:t>
      </w:r>
      <w:r>
        <w:rPr>
          <w:rStyle w:val="Strong"/>
          <w:b w:val="false"/>
          <w:bCs w:val="false"/>
          <w:color w:val="auto"/>
          <w:sz w:val="33"/>
          <w:szCs w:val="33"/>
        </w:rPr>
        <w:t xml:space="preserve"> – 13 PAESI HANNO RATIFICATO IL TRATTATO</w:t>
      </w:r>
    </w:p>
    <w:tbl>
      <w:tblPr>
        <w:tblW w:w="9796" w:type="dxa"/>
        <w:jc w:val="left"/>
        <w:tblInd w:w="0" w:type="dxa"/>
        <w:tblLayout w:type="fixed"/>
        <w:tblCellMar>
          <w:top w:w="150" w:type="dxa"/>
          <w:left w:w="225" w:type="dxa"/>
          <w:bottom w:w="150" w:type="dxa"/>
          <w:right w:w="225" w:type="dxa"/>
        </w:tblCellMar>
        <w:tblLook w:val="04a0" w:noHBand="0" w:noVBand="1" w:firstColumn="1" w:lastRow="0" w:lastColumn="0" w:firstRow="1"/>
      </w:tblPr>
      <w:tblGrid>
        <w:gridCol w:w="3539"/>
        <w:gridCol w:w="2979"/>
        <w:gridCol w:w="3278"/>
      </w:tblGrid>
      <w:tr>
        <w:trPr>
          <w:trHeight w:val="315" w:hRule="atLeast"/>
        </w:trPr>
        <w:tc>
          <w:tcPr>
            <w:tcW w:w="353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Benin</w:t>
            </w:r>
          </w:p>
        </w:tc>
        <w:tc>
          <w:tcPr>
            <w:tcW w:w="297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Costa d’Avorio</w:t>
            </w:r>
          </w:p>
        </w:tc>
        <w:tc>
          <w:tcPr>
            <w:tcW w:w="3278"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Namibia</w:t>
            </w:r>
          </w:p>
        </w:tc>
      </w:tr>
      <w:tr>
        <w:trPr>
          <w:trHeight w:val="298" w:hRule="atLeast"/>
        </w:trPr>
        <w:tc>
          <w:tcPr>
            <w:tcW w:w="353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Botswana</w:t>
              <w:tab/>
            </w:r>
          </w:p>
        </w:tc>
        <w:tc>
          <w:tcPr>
            <w:tcW w:w="297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Gambia</w:t>
            </w:r>
          </w:p>
        </w:tc>
        <w:tc>
          <w:tcPr>
            <w:tcW w:w="3278"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Nigeria</w:t>
              <w:tab/>
            </w:r>
          </w:p>
        </w:tc>
      </w:tr>
      <w:tr>
        <w:trPr>
          <w:trHeight w:val="315" w:hRule="atLeast"/>
        </w:trPr>
        <w:tc>
          <w:tcPr>
            <w:tcW w:w="353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Capo Verde</w:t>
            </w:r>
          </w:p>
        </w:tc>
        <w:tc>
          <w:tcPr>
            <w:tcW w:w="297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Guinea-Bissau</w:t>
            </w:r>
          </w:p>
        </w:tc>
        <w:tc>
          <w:tcPr>
            <w:tcW w:w="3278"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Sud Africa</w:t>
            </w:r>
          </w:p>
        </w:tc>
      </w:tr>
      <w:tr>
        <w:trPr>
          <w:trHeight w:val="315" w:hRule="atLeast"/>
        </w:trPr>
        <w:tc>
          <w:tcPr>
            <w:tcW w:w="3539"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Comoros</w:t>
            </w:r>
          </w:p>
        </w:tc>
        <w:tc>
          <w:tcPr>
            <w:tcW w:w="2979"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Lesotho</w:t>
            </w:r>
          </w:p>
        </w:tc>
        <w:tc>
          <w:tcPr>
            <w:tcW w:w="3278"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Noto Sans" w:ascii="Noto Sans" w:hAnsi="Noto Sans"/>
                <w:color w:val="010101"/>
              </w:rPr>
            </w:r>
          </w:p>
        </w:tc>
      </w:tr>
      <w:tr>
        <w:trPr>
          <w:trHeight w:val="315" w:hRule="atLeast"/>
        </w:trPr>
        <w:tc>
          <w:tcPr>
            <w:tcW w:w="353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Congo</w:t>
            </w:r>
          </w:p>
        </w:tc>
        <w:tc>
          <w:tcPr>
            <w:tcW w:w="297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Seychelles</w:t>
            </w:r>
          </w:p>
        </w:tc>
        <w:tc>
          <w:tcPr>
            <w:tcW w:w="3278"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r>
          </w:p>
        </w:tc>
      </w:tr>
    </w:tbl>
    <w:p>
      <w:pPr>
        <w:pStyle w:val="NormalWeb"/>
        <w:spacing w:beforeAutospacing="0" w:before="240" w:afterAutospacing="0" w:after="240"/>
        <w:textAlignment w:val="baseline"/>
        <w:rPr>
          <w:rFonts w:ascii="Arial" w:hAnsi="Arial" w:eastAsia="Arial" w:cs="Arial"/>
          <w:sz w:val="22"/>
          <w:szCs w:val="22"/>
        </w:rPr>
      </w:pPr>
      <w:r>
        <w:rPr>
          <w:rFonts w:eastAsia="Arial" w:cs="Arial" w:ascii="Arial" w:hAnsi="Arial"/>
          <w:sz w:val="22"/>
          <w:szCs w:val="22"/>
        </w:rPr>
      </w:r>
    </w:p>
    <w:p>
      <w:pPr>
        <w:pStyle w:val="Titolo4"/>
        <w:shd w:val="clear" w:color="auto" w:fill="FFFFFF"/>
        <w:spacing w:before="0" w:after="0"/>
        <w:rPr>
          <w:color w:val="auto"/>
          <w:sz w:val="33"/>
          <w:szCs w:val="33"/>
        </w:rPr>
      </w:pPr>
      <w:r>
        <w:rPr>
          <w:rStyle w:val="Strong"/>
          <w:color w:val="auto"/>
          <w:sz w:val="33"/>
          <w:szCs w:val="33"/>
        </w:rPr>
        <w:t>AMERICA</w:t>
      </w:r>
      <w:r>
        <w:rPr>
          <w:rStyle w:val="Strong"/>
          <w:b w:val="false"/>
          <w:bCs w:val="false"/>
          <w:color w:val="auto"/>
          <w:sz w:val="33"/>
          <w:szCs w:val="33"/>
        </w:rPr>
        <w:t xml:space="preserve"> – 25 PAESI HANNO RATIFICATO IL TRATTATO</w:t>
      </w:r>
    </w:p>
    <w:tbl>
      <w:tblPr>
        <w:tblW w:w="9810" w:type="dxa"/>
        <w:jc w:val="left"/>
        <w:tblInd w:w="0" w:type="dxa"/>
        <w:tblLayout w:type="fixed"/>
        <w:tblCellMar>
          <w:top w:w="150" w:type="dxa"/>
          <w:left w:w="225" w:type="dxa"/>
          <w:bottom w:w="150" w:type="dxa"/>
          <w:right w:w="225" w:type="dxa"/>
        </w:tblCellMar>
        <w:tblLook w:val="04a0" w:noHBand="0" w:noVBand="1" w:firstColumn="1" w:lastRow="0" w:lastColumn="0" w:firstRow="1"/>
      </w:tblPr>
      <w:tblGrid>
        <w:gridCol w:w="3539"/>
        <w:gridCol w:w="2978"/>
        <w:gridCol w:w="3293"/>
      </w:tblGrid>
      <w:tr>
        <w:trPr>
          <w:trHeight w:val="315" w:hRule="atLeast"/>
        </w:trPr>
        <w:tc>
          <w:tcPr>
            <w:tcW w:w="353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rPr>
              <w:t>Antigua and Barbuda</w:t>
            </w:r>
          </w:p>
        </w:tc>
        <w:tc>
          <w:tcPr>
            <w:tcW w:w="2978"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Grenada</w:t>
            </w:r>
          </w:p>
        </w:tc>
        <w:tc>
          <w:tcPr>
            <w:tcW w:w="3293"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Peru´</w:t>
            </w:r>
          </w:p>
        </w:tc>
      </w:tr>
      <w:tr>
        <w:trPr>
          <w:trHeight w:val="298" w:hRule="atLeast"/>
        </w:trPr>
        <w:tc>
          <w:tcPr>
            <w:tcW w:w="353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Belize</w:t>
              <w:tab/>
            </w:r>
          </w:p>
        </w:tc>
        <w:tc>
          <w:tcPr>
            <w:tcW w:w="2978"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Guatemala</w:t>
            </w:r>
          </w:p>
        </w:tc>
        <w:tc>
          <w:tcPr>
            <w:tcW w:w="3293"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Saint Kitts &amp; Nevis</w:t>
            </w:r>
          </w:p>
        </w:tc>
      </w:tr>
      <w:tr>
        <w:trPr>
          <w:trHeight w:val="315" w:hRule="atLeast"/>
        </w:trPr>
        <w:tc>
          <w:tcPr>
            <w:tcW w:w="353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Bolivia</w:t>
            </w:r>
          </w:p>
        </w:tc>
        <w:tc>
          <w:tcPr>
            <w:tcW w:w="2978"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Guyana</w:t>
            </w:r>
          </w:p>
        </w:tc>
        <w:tc>
          <w:tcPr>
            <w:tcW w:w="3293"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Saint Lucia</w:t>
            </w:r>
          </w:p>
        </w:tc>
      </w:tr>
      <w:tr>
        <w:trPr>
          <w:trHeight w:val="315" w:hRule="atLeast"/>
        </w:trPr>
        <w:tc>
          <w:tcPr>
            <w:tcW w:w="3539"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Cile</w:t>
            </w:r>
          </w:p>
        </w:tc>
        <w:tc>
          <w:tcPr>
            <w:tcW w:w="2978"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Honduras</w:t>
            </w:r>
          </w:p>
        </w:tc>
        <w:tc>
          <w:tcPr>
            <w:tcW w:w="3293"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eastAsia="Arial" w:cs="Arial" w:ascii="Arial" w:hAnsi="Arial"/>
                <w:sz w:val="22"/>
                <w:szCs w:val="22"/>
                <w:lang w:val="en-IE"/>
              </w:rPr>
              <w:t>Saint Vincent &amp; the Grenadines</w:t>
            </w:r>
          </w:p>
        </w:tc>
      </w:tr>
      <w:tr>
        <w:trPr>
          <w:trHeight w:val="315" w:hRule="atLeast"/>
        </w:trPr>
        <w:tc>
          <w:tcPr>
            <w:tcW w:w="3539"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Costa Rica</w:t>
            </w:r>
          </w:p>
        </w:tc>
        <w:tc>
          <w:tcPr>
            <w:tcW w:w="2978"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Jamaica</w:t>
            </w:r>
          </w:p>
        </w:tc>
        <w:tc>
          <w:tcPr>
            <w:tcW w:w="3293"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Trinidad and Tobago</w:t>
            </w:r>
          </w:p>
        </w:tc>
      </w:tr>
      <w:tr>
        <w:trPr>
          <w:trHeight w:val="315" w:hRule="atLeast"/>
        </w:trPr>
        <w:tc>
          <w:tcPr>
            <w:tcW w:w="3539"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Cuba</w:t>
            </w:r>
          </w:p>
        </w:tc>
        <w:tc>
          <w:tcPr>
            <w:tcW w:w="2978"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Messico</w:t>
            </w:r>
          </w:p>
        </w:tc>
        <w:tc>
          <w:tcPr>
            <w:tcW w:w="3293"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Uruguay</w:t>
            </w:r>
          </w:p>
        </w:tc>
      </w:tr>
      <w:tr>
        <w:trPr>
          <w:trHeight w:val="315" w:hRule="atLeast"/>
        </w:trPr>
        <w:tc>
          <w:tcPr>
            <w:tcW w:w="3539"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Dominica</w:t>
            </w:r>
          </w:p>
        </w:tc>
        <w:tc>
          <w:tcPr>
            <w:tcW w:w="2978"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Nicaragua</w:t>
            </w:r>
          </w:p>
        </w:tc>
        <w:tc>
          <w:tcPr>
            <w:tcW w:w="3293"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rPr>
              <w:t>Venezuela</w:t>
            </w:r>
          </w:p>
        </w:tc>
      </w:tr>
      <w:tr>
        <w:trPr>
          <w:trHeight w:val="315" w:hRule="atLeast"/>
        </w:trPr>
        <w:tc>
          <w:tcPr>
            <w:tcW w:w="3539"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Ecuador</w:t>
            </w:r>
          </w:p>
        </w:tc>
        <w:tc>
          <w:tcPr>
            <w:tcW w:w="2978"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Panama</w:t>
            </w:r>
          </w:p>
        </w:tc>
        <w:tc>
          <w:tcPr>
            <w:tcW w:w="3293" w:type="dxa"/>
            <w:tcBorders>
              <w:top w:val="single" w:sz="2" w:space="0" w:color="EEEEEE"/>
              <w:left w:val="single" w:sz="2" w:space="0" w:color="EEEEEE"/>
              <w:bottom w:val="single" w:sz="2"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highlight w:val="yellow"/>
                <w:lang w:val="en-IE"/>
              </w:rPr>
            </w:pPr>
            <w:r>
              <w:rPr>
                <w:rFonts w:eastAsia="Arial" w:cs="Arial" w:ascii="Arial" w:hAnsi="Arial"/>
                <w:sz w:val="22"/>
                <w:szCs w:val="22"/>
                <w:highlight w:val="yellow"/>
                <w:lang w:val="en-IE"/>
              </w:rPr>
            </w:r>
          </w:p>
        </w:tc>
      </w:tr>
      <w:tr>
        <w:trPr>
          <w:trHeight w:val="315" w:hRule="atLeast"/>
        </w:trPr>
        <w:tc>
          <w:tcPr>
            <w:tcW w:w="3539"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El Salvador</w:t>
            </w:r>
          </w:p>
        </w:tc>
        <w:tc>
          <w:tcPr>
            <w:tcW w:w="2978"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lang w:val="en-IE"/>
              </w:rPr>
            </w:pPr>
            <w:r>
              <w:rPr>
                <w:rFonts w:eastAsia="Arial" w:cs="Arial" w:ascii="Arial" w:hAnsi="Arial"/>
                <w:sz w:val="22"/>
                <w:szCs w:val="22"/>
                <w:lang w:val="en-IE"/>
              </w:rPr>
              <w:t>Paraguay</w:t>
            </w:r>
          </w:p>
        </w:tc>
        <w:tc>
          <w:tcPr>
            <w:tcW w:w="3293"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Arial" w:hAnsi="Arial" w:eastAsia="Arial" w:cs="Arial"/>
                <w:sz w:val="22"/>
                <w:szCs w:val="22"/>
              </w:rPr>
            </w:pPr>
            <w:r>
              <w:rPr>
                <w:rFonts w:eastAsia="Arial" w:cs="Arial" w:ascii="Arial" w:hAnsi="Arial"/>
                <w:sz w:val="22"/>
                <w:szCs w:val="22"/>
              </w:rPr>
            </w:r>
          </w:p>
        </w:tc>
      </w:tr>
    </w:tbl>
    <w:p>
      <w:pPr>
        <w:pStyle w:val="Normal"/>
        <w:rPr/>
      </w:pPr>
      <w:r>
        <w:rPr/>
      </w:r>
    </w:p>
    <w:p>
      <w:pPr>
        <w:pStyle w:val="Normal"/>
        <w:rPr>
          <w:sz w:val="24"/>
          <w:szCs w:val="24"/>
        </w:rPr>
      </w:pPr>
      <w:r>
        <w:rPr>
          <w:sz w:val="24"/>
          <w:szCs w:val="24"/>
        </w:rPr>
        <w:t>L’Italia purtroppo non è presente in questa lista, non avendo né firmato né ratificato tale trattato.</w:t>
      </w:r>
    </w:p>
    <w:p>
      <w:pPr>
        <w:pStyle w:val="Normal"/>
        <w:rPr>
          <w:sz w:val="24"/>
          <w:szCs w:val="24"/>
        </w:rPr>
      </w:pPr>
      <w:r>
        <w:rPr>
          <w:sz w:val="24"/>
          <w:szCs w:val="24"/>
        </w:rPr>
        <w:t xml:space="preserve">Occorre fare pressione partendo dall’adesione dei Comuni Italiani per evitare di pagare pesanti conseguenze future. </w:t>
      </w:r>
      <w:r>
        <w:rPr>
          <w:sz w:val="24"/>
          <w:szCs w:val="24"/>
        </w:rPr>
        <w:t>Un comune che aderisce ottiene due effetti:</w:t>
      </w:r>
    </w:p>
    <w:p>
      <w:pPr>
        <w:pStyle w:val="Normal"/>
        <w:rPr>
          <w:sz w:val="24"/>
          <w:szCs w:val="24"/>
        </w:rPr>
      </w:pPr>
      <w:r>
        <w:rPr>
          <w:sz w:val="24"/>
          <w:szCs w:val="24"/>
        </w:rPr>
        <w:t>- diviene “atom free”</w:t>
      </w:r>
    </w:p>
    <w:p>
      <w:pPr>
        <w:pStyle w:val="Normal"/>
        <w:rPr>
          <w:sz w:val="24"/>
          <w:szCs w:val="24"/>
        </w:rPr>
      </w:pPr>
      <w:r>
        <w:rPr>
          <w:sz w:val="24"/>
          <w:szCs w:val="24"/>
        </w:rPr>
        <w:t>- fa pre</w:t>
      </w:r>
      <w:r>
        <w:rPr>
          <w:b w:val="false"/>
          <w:bCs w:val="false"/>
          <w:sz w:val="24"/>
          <w:szCs w:val="24"/>
        </w:rPr>
        <w:t xml:space="preserve">ssione </w:t>
      </w:r>
      <w:r>
        <w:rPr>
          <w:rStyle w:val="Enfasiforte"/>
          <w:b w:val="false"/>
          <w:bCs w:val="false"/>
          <w:sz w:val="24"/>
          <w:szCs w:val="24"/>
        </w:rPr>
        <w:t>sul governo italiano affinché attivi la procedura per la firma e la ratifica.</w:t>
      </w:r>
    </w:p>
    <w:p>
      <w:pPr>
        <w:pStyle w:val="Normal"/>
        <w:rPr>
          <w:sz w:val="24"/>
          <w:szCs w:val="24"/>
        </w:rPr>
      </w:pPr>
      <w:r>
        <w:rPr>
          <w:sz w:val="24"/>
          <w:szCs w:val="24"/>
        </w:rPr>
        <w:br/>
      </w:r>
    </w:p>
    <w:p>
      <w:pPr>
        <w:pStyle w:val="Normal"/>
        <w:rPr>
          <w:sz w:val="24"/>
          <w:szCs w:val="24"/>
        </w:rPr>
      </w:pPr>
      <w:r>
        <w:rPr>
          <w:sz w:val="24"/>
          <w:szCs w:val="24"/>
        </w:rPr>
        <w:t>Al momento hanno sottoscritto l’Appello di ICAN le seguenti città italiane:</w:t>
      </w:r>
    </w:p>
    <w:p>
      <w:pPr>
        <w:pStyle w:val="Normal"/>
        <w:rPr>
          <w:sz w:val="24"/>
          <w:szCs w:val="24"/>
        </w:rPr>
      </w:pPr>
      <w:r>
        <w:rPr>
          <w:sz w:val="24"/>
          <w:szCs w:val="24"/>
        </w:rPr>
      </w:r>
    </w:p>
    <w:p>
      <w:pPr>
        <w:pStyle w:val="Titolo4"/>
        <w:shd w:val="clear" w:color="auto" w:fill="FFFFFF"/>
        <w:spacing w:before="0" w:after="0"/>
        <w:rPr>
          <w:color w:val="auto"/>
          <w:sz w:val="33"/>
          <w:szCs w:val="33"/>
        </w:rPr>
      </w:pPr>
      <w:r>
        <w:rPr>
          <w:rStyle w:val="Strong"/>
          <w:b w:val="false"/>
          <w:bCs w:val="false"/>
          <w:color w:val="auto"/>
          <w:sz w:val="33"/>
          <w:szCs w:val="33"/>
        </w:rPr>
        <w:t>12 COMUNI con oltre 15.000 abitanti</w:t>
      </w:r>
    </w:p>
    <w:tbl>
      <w:tblPr>
        <w:tblW w:w="10126" w:type="dxa"/>
        <w:jc w:val="left"/>
        <w:tblInd w:w="0" w:type="dxa"/>
        <w:tblLayout w:type="fixed"/>
        <w:tblCellMar>
          <w:top w:w="150" w:type="dxa"/>
          <w:left w:w="225" w:type="dxa"/>
          <w:bottom w:w="150" w:type="dxa"/>
          <w:right w:w="225" w:type="dxa"/>
        </w:tblCellMar>
        <w:tblLook w:val="04a0" w:noHBand="0" w:noVBand="1" w:firstColumn="1" w:lastRow="0" w:lastColumn="0" w:firstRow="1"/>
      </w:tblPr>
      <w:tblGrid>
        <w:gridCol w:w="3385"/>
        <w:gridCol w:w="3401"/>
        <w:gridCol w:w="3340"/>
      </w:tblGrid>
      <w:tr>
        <w:trPr>
          <w:trHeight w:val="315" w:hRule="atLeast"/>
        </w:trPr>
        <w:tc>
          <w:tcPr>
            <w:tcW w:w="338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Alba (TO)</w:t>
            </w:r>
          </w:p>
        </w:tc>
        <w:tc>
          <w:tcPr>
            <w:tcW w:w="340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Noto Sans" w:ascii="Helvetica Neue" w:hAnsi="Helvetica Neue"/>
                <w:b/>
                <w:bCs/>
                <w:color w:val="000000"/>
              </w:rPr>
              <w:t>Modena</w:t>
            </w:r>
          </w:p>
        </w:tc>
        <w:tc>
          <w:tcPr>
            <w:tcW w:w="334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Pontedera (PI)</w:t>
            </w:r>
          </w:p>
        </w:tc>
      </w:tr>
      <w:tr>
        <w:trPr>
          <w:trHeight w:val="298" w:hRule="atLeast"/>
        </w:trPr>
        <w:tc>
          <w:tcPr>
            <w:tcW w:w="338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Brescia</w:t>
            </w:r>
          </w:p>
        </w:tc>
        <w:tc>
          <w:tcPr>
            <w:tcW w:w="340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Padova</w:t>
            </w:r>
          </w:p>
        </w:tc>
        <w:tc>
          <w:tcPr>
            <w:tcW w:w="334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Reggio Emilia</w:t>
            </w:r>
          </w:p>
        </w:tc>
      </w:tr>
      <w:tr>
        <w:trPr>
          <w:trHeight w:val="315" w:hRule="atLeast"/>
        </w:trPr>
        <w:tc>
          <w:tcPr>
            <w:tcW w:w="338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Cervia (RA)</w:t>
            </w:r>
          </w:p>
        </w:tc>
        <w:tc>
          <w:tcPr>
            <w:tcW w:w="340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Palazzolo sull’Oglio (BS)</w:t>
            </w:r>
          </w:p>
        </w:tc>
        <w:tc>
          <w:tcPr>
            <w:tcW w:w="334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Senigallia (AN)</w:t>
            </w:r>
          </w:p>
        </w:tc>
      </w:tr>
      <w:tr>
        <w:trPr>
          <w:trHeight w:val="315" w:hRule="atLeast"/>
        </w:trPr>
        <w:tc>
          <w:tcPr>
            <w:tcW w:w="338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Gussago (BS)</w:t>
            </w:r>
          </w:p>
        </w:tc>
        <w:tc>
          <w:tcPr>
            <w:tcW w:w="340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Ponsacco (PI)</w:t>
            </w:r>
          </w:p>
        </w:tc>
        <w:tc>
          <w:tcPr>
            <w:tcW w:w="334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Thiene (VI)</w:t>
            </w:r>
          </w:p>
        </w:tc>
      </w:tr>
    </w:tbl>
    <w:p>
      <w:pPr>
        <w:pStyle w:val="Normal"/>
        <w:rPr>
          <w:lang w:val="en-IE"/>
        </w:rPr>
      </w:pPr>
      <w:r>
        <w:rPr>
          <w:lang w:val="en-IE"/>
        </w:rPr>
      </w:r>
    </w:p>
    <w:p>
      <w:pPr>
        <w:pStyle w:val="Titolo4"/>
        <w:shd w:val="clear" w:color="auto" w:fill="FFFFFF"/>
        <w:spacing w:before="0" w:after="0"/>
        <w:rPr>
          <w:rStyle w:val="Strong"/>
        </w:rPr>
      </w:pPr>
      <w:r>
        <w:rPr>
          <w:rStyle w:val="Strong"/>
          <w:b w:val="false"/>
          <w:bCs w:val="false"/>
          <w:color w:val="auto"/>
          <w:sz w:val="33"/>
          <w:szCs w:val="33"/>
        </w:rPr>
        <w:t>41 COMUNI con meno di 15.000 abitanti</w:t>
      </w:r>
    </w:p>
    <w:tbl>
      <w:tblPr>
        <w:tblW w:w="10156" w:type="dxa"/>
        <w:jc w:val="left"/>
        <w:tblInd w:w="0" w:type="dxa"/>
        <w:tblLayout w:type="fixed"/>
        <w:tblCellMar>
          <w:top w:w="150" w:type="dxa"/>
          <w:left w:w="225" w:type="dxa"/>
          <w:bottom w:w="150" w:type="dxa"/>
          <w:right w:w="225" w:type="dxa"/>
        </w:tblCellMar>
        <w:tblLook w:val="04a0" w:noHBand="0" w:noVBand="1" w:firstColumn="1" w:lastRow="0" w:lastColumn="0" w:firstRow="1"/>
      </w:tblPr>
      <w:tblGrid>
        <w:gridCol w:w="3375"/>
        <w:gridCol w:w="3390"/>
        <w:gridCol w:w="3391"/>
      </w:tblGrid>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Alfianello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Carbonera (TV)</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Nave (BS)</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Barghe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Casazza (BG)</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Olgiate Comasco (CO)</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Bientina (PI)</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Castegnato (BS)</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Ospitaletto (BS)</w:t>
            </w:r>
          </w:p>
        </w:tc>
      </w:tr>
      <w:tr>
        <w:trPr>
          <w:trHeight w:val="272"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Borgo San Giacomo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Castelnuovo Cilento (SA)</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Paciano (PG)</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Borgosatollo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Cerveno (BS)</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Padenghe sul Garda (BS)</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Botticino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Cevo (BS)</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Passirano (BS)</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Bovezzo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Chianni (PI)</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Roè Volciano (BS)</w:t>
            </w:r>
          </w:p>
        </w:tc>
      </w:tr>
      <w:tr>
        <w:trPr>
          <w:trHeight w:val="272"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Braone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Collebeato (BS)</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Roncadelle (BS)</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Brione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Crespina Lorenzana (PI)</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San Gervasio (BS)</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Caino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Fauglia (PI)</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Terricciola (PI)</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Calcinaia (PI)</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Fregona (TV)</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Verolavecchia (BS)</w:t>
            </w:r>
          </w:p>
        </w:tc>
      </w:tr>
      <w:tr>
        <w:trPr>
          <w:trHeight w:val="272"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Calvisano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Lajatico (PI)</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Vicopisano (PI)</w:t>
            </w:r>
          </w:p>
        </w:tc>
      </w:tr>
      <w:tr>
        <w:trPr>
          <w:trHeight w:val="287"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Capannoli (PI)</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Malegno (BS)</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Villachiara (BS)</w:t>
            </w:r>
          </w:p>
        </w:tc>
      </w:tr>
      <w:tr>
        <w:trPr>
          <w:trHeight w:val="363" w:hRule="atLeast"/>
        </w:trPr>
        <w:tc>
          <w:tcPr>
            <w:tcW w:w="3375"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Capo di Ponte (BS)</w:t>
            </w:r>
          </w:p>
        </w:tc>
        <w:tc>
          <w:tcPr>
            <w:tcW w:w="3390" w:type="dxa"/>
            <w:tcBorders>
              <w:top w:val="single" w:sz="2" w:space="0" w:color="EEEEEE"/>
              <w:left w:val="single" w:sz="2" w:space="0" w:color="EEEEEE"/>
              <w:bottom w:val="single" w:sz="6" w:space="0" w:color="EEEEEE"/>
              <w:right w:val="single" w:sz="6" w:space="0" w:color="EEEEEE"/>
            </w:tcBorders>
            <w:shd w:color="auto" w:fill="FFFFFF" w:val="clear"/>
          </w:tcPr>
          <w:p>
            <w:pPr>
              <w:pStyle w:val="NormalWeb"/>
              <w:widowControl w:val="false"/>
              <w:spacing w:beforeAutospacing="0" w:before="0" w:afterAutospacing="0" w:after="0"/>
              <w:rPr>
                <w:rFonts w:ascii="Noto Sans" w:hAnsi="Noto Sans" w:cs="Noto Sans"/>
                <w:color w:val="010101"/>
              </w:rPr>
            </w:pPr>
            <w:r>
              <w:rPr>
                <w:rFonts w:cs="Arial" w:ascii="Arial" w:hAnsi="Arial"/>
                <w:b/>
                <w:bCs/>
                <w:color w:val="000000"/>
              </w:rPr>
              <w:t>Muscoline (BS)</w:t>
            </w:r>
          </w:p>
        </w:tc>
        <w:tc>
          <w:tcPr>
            <w:tcW w:w="3391" w:type="dxa"/>
            <w:tcBorders>
              <w:top w:val="single" w:sz="2" w:space="0" w:color="EEEEEE"/>
              <w:left w:val="single" w:sz="2" w:space="0" w:color="EEEEEE"/>
              <w:bottom w:val="single" w:sz="6" w:space="0" w:color="EEEEEE"/>
              <w:right w:val="single" w:sz="6" w:space="0" w:color="EEEEEE"/>
            </w:tcBorders>
            <w:shd w:color="auto" w:fill="FFFFFF" w:val="clear"/>
          </w:tcPr>
          <w:p>
            <w:pPr>
              <w:pStyle w:val="Normal"/>
              <w:widowControl w:val="false"/>
              <w:rPr>
                <w:rFonts w:ascii="Noto Sans" w:hAnsi="Noto Sans" w:cs="Noto Sans"/>
                <w:color w:val="010101"/>
              </w:rPr>
            </w:pPr>
            <w:r>
              <w:rPr>
                <w:rFonts w:cs="Noto Sans" w:ascii="Noto Sans" w:hAnsi="Noto Sans"/>
                <w:color w:val="010101"/>
              </w:rPr>
              <w:t> </w:t>
            </w:r>
          </w:p>
        </w:tc>
      </w:tr>
    </w:tbl>
    <w:p>
      <w:pPr>
        <w:pStyle w:val="Normal"/>
        <w:rPr>
          <w:sz w:val="24"/>
          <w:szCs w:val="24"/>
        </w:rPr>
      </w:pPr>
      <w:r>
        <w:rPr>
          <w:sz w:val="24"/>
          <w:szCs w:val="24"/>
        </w:rPr>
      </w:r>
    </w:p>
    <w:p>
      <w:pPr>
        <w:pStyle w:val="Normal"/>
        <w:rPr>
          <w:sz w:val="24"/>
          <w:szCs w:val="24"/>
        </w:rPr>
      </w:pPr>
      <w:r>
        <w:rPr>
          <w:sz w:val="24"/>
          <w:szCs w:val="24"/>
        </w:rPr>
        <w:t>Link utili:</w:t>
      </w:r>
    </w:p>
    <w:p>
      <w:pPr>
        <w:pStyle w:val="Normal"/>
        <w:rPr>
          <w:sz w:val="24"/>
          <w:szCs w:val="24"/>
        </w:rPr>
      </w:pPr>
      <w:r>
        <w:rPr>
          <w:sz w:val="24"/>
          <w:szCs w:val="24"/>
        </w:rPr>
      </w:r>
    </w:p>
    <w:p>
      <w:pPr>
        <w:pStyle w:val="Normal"/>
        <w:ind w:left="720" w:hanging="0"/>
        <w:rPr>
          <w:sz w:val="24"/>
          <w:szCs w:val="24"/>
        </w:rPr>
      </w:pPr>
      <w:hyperlink r:id="rId5">
        <w:r>
          <w:rPr>
            <w:sz w:val="24"/>
            <w:szCs w:val="24"/>
          </w:rPr>
          <w:t>https://www.icanw.org/signature_and_ratification_status</w:t>
        </w:r>
      </w:hyperlink>
    </w:p>
    <w:p>
      <w:pPr>
        <w:pStyle w:val="Normal"/>
        <w:ind w:left="720" w:hanging="0"/>
        <w:rPr>
          <w:sz w:val="24"/>
          <w:szCs w:val="24"/>
        </w:rPr>
      </w:pPr>
      <w:hyperlink r:id="rId6">
        <w:r>
          <w:rPr>
            <w:sz w:val="24"/>
            <w:szCs w:val="24"/>
          </w:rPr>
          <w:t>https://cities.icanw.org/list_of_cities</w:t>
        </w:r>
      </w:hyperlink>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Noto Sans">
    <w:charset w:val="01"/>
    <w:family w:val="roman"/>
    <w:pitch w:val="variable"/>
  </w:font>
  <w:font w:name="Helvetica Neue">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303b"/>
    <w:pPr>
      <w:widowControl/>
      <w:bidi w:val="0"/>
      <w:spacing w:lineRule="auto" w:line="276" w:before="0" w:after="0"/>
      <w:jc w:val="left"/>
    </w:pPr>
    <w:rPr>
      <w:rFonts w:ascii="Arial" w:hAnsi="Arial" w:eastAsia="Arial" w:cs="Arial"/>
      <w:color w:val="auto"/>
      <w:kern w:val="0"/>
      <w:sz w:val="22"/>
      <w:szCs w:val="22"/>
      <w:lang w:val="it-IT" w:eastAsia="it-IT" w:bidi="ar-SA"/>
    </w:rPr>
  </w:style>
  <w:style w:type="paragraph" w:styleId="Titolo1">
    <w:name w:val="Heading 1"/>
    <w:basedOn w:val="Normal"/>
    <w:next w:val="Normal"/>
    <w:uiPriority w:val="9"/>
    <w:qFormat/>
    <w:pPr>
      <w:keepNext w:val="true"/>
      <w:keepLines/>
      <w:spacing w:before="400" w:after="120"/>
      <w:outlineLvl w:val="0"/>
    </w:pPr>
    <w:rPr>
      <w:sz w:val="40"/>
      <w:szCs w:val="40"/>
    </w:rPr>
  </w:style>
  <w:style w:type="paragraph" w:styleId="Titolo2">
    <w:name w:val="Heading 2"/>
    <w:basedOn w:val="Normal"/>
    <w:next w:val="Normal"/>
    <w:uiPriority w:val="9"/>
    <w:semiHidden/>
    <w:unhideWhenUsed/>
    <w:qFormat/>
    <w:pPr>
      <w:keepNext w:val="true"/>
      <w:keepLines/>
      <w:spacing w:before="360" w:after="120"/>
      <w:outlineLvl w:val="1"/>
    </w:pPr>
    <w:rPr>
      <w:sz w:val="32"/>
      <w:szCs w:val="32"/>
    </w:rPr>
  </w:style>
  <w:style w:type="paragraph" w:styleId="Titolo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ol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olo5">
    <w:name w:val="Heading 5"/>
    <w:basedOn w:val="Normal"/>
    <w:next w:val="Normal"/>
    <w:uiPriority w:val="9"/>
    <w:semiHidden/>
    <w:unhideWhenUsed/>
    <w:qFormat/>
    <w:pPr>
      <w:keepNext w:val="true"/>
      <w:keepLines/>
      <w:spacing w:before="240" w:after="80"/>
      <w:outlineLvl w:val="4"/>
    </w:pPr>
    <w:rPr>
      <w:color w:val="666666"/>
    </w:rPr>
  </w:style>
  <w:style w:type="paragraph" w:styleId="Titolo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10643f"/>
    <w:rPr>
      <w:i/>
      <w:iCs/>
    </w:rPr>
  </w:style>
  <w:style w:type="character" w:styleId="Strong">
    <w:name w:val="Strong"/>
    <w:basedOn w:val="DefaultParagraphFont"/>
    <w:uiPriority w:val="22"/>
    <w:qFormat/>
    <w:rsid w:val="0021465b"/>
    <w:rPr>
      <w:b/>
      <w:bCs/>
    </w:rPr>
  </w:style>
  <w:style w:type="character" w:styleId="CollegamentoInternet">
    <w:name w:val="Collegamento Internet"/>
    <w:basedOn w:val="DefaultParagraphFont"/>
    <w:uiPriority w:val="99"/>
    <w:unhideWhenUsed/>
    <w:rsid w:val="00ab0f2c"/>
    <w:rPr>
      <w:color w:val="0000FF" w:themeColor="hyperlink"/>
      <w:u w:val="single"/>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Noto Sans CJK SC"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lang w:val="zxx" w:eastAsia="zxx" w:bidi="zxx"/>
    </w:rPr>
  </w:style>
  <w:style w:type="paragraph" w:styleId="Titoloprincipale">
    <w:name w:val="Title"/>
    <w:basedOn w:val="Normal"/>
    <w:next w:val="Normal"/>
    <w:uiPriority w:val="10"/>
    <w:qFormat/>
    <w:pPr>
      <w:keepNext w:val="true"/>
      <w:keepLines/>
      <w:spacing w:before="0" w:after="60"/>
    </w:pPr>
    <w:rPr>
      <w:sz w:val="52"/>
      <w:szCs w:val="52"/>
    </w:rPr>
  </w:style>
  <w:style w:type="paragraph" w:styleId="Sottotitolo">
    <w:name w:val="Subtitle"/>
    <w:basedOn w:val="Normal"/>
    <w:next w:val="Normal"/>
    <w:uiPriority w:val="11"/>
    <w:qFormat/>
    <w:pPr>
      <w:keepNext w:val="true"/>
      <w:keepLines/>
      <w:spacing w:before="0" w:after="320"/>
    </w:pPr>
    <w:rPr>
      <w:color w:val="666666"/>
      <w:sz w:val="30"/>
      <w:szCs w:val="30"/>
    </w:rPr>
  </w:style>
  <w:style w:type="paragraph" w:styleId="NormalWeb">
    <w:name w:val="Normal (Web)"/>
    <w:basedOn w:val="Normal"/>
    <w:uiPriority w:val="99"/>
    <w:unhideWhenUsed/>
    <w:qFormat/>
    <w:rsid w:val="000348ae"/>
    <w:pPr>
      <w:spacing w:lineRule="auto" w:line="240" w:beforeAutospacing="1" w:afterAutospacing="1"/>
    </w:pPr>
    <w:rPr>
      <w:rFonts w:ascii="Times New Roman" w:hAnsi="Times New Roman" w:eastAsia="Times New Roman" w:cs="Times New Roman"/>
      <w:sz w:val="24"/>
      <w:szCs w:val="24"/>
    </w:rPr>
  </w:style>
  <w:style w:type="paragraph" w:styleId="Faqq" w:customStyle="1">
    <w:name w:val="faq_q"/>
    <w:basedOn w:val="Normal"/>
    <w:qFormat/>
    <w:rsid w:val="0010643f"/>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ea2ed1"/>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227b46"/>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Z0Rg1UJ3xpg" TargetMode="External"/><Relationship Id="rId3" Type="http://schemas.openxmlformats.org/officeDocument/2006/relationships/hyperlink" Target="https://www.youtube.com/watch?v=e6SuU9P5vnc" TargetMode="External"/><Relationship Id="rId4" Type="http://schemas.openxmlformats.org/officeDocument/2006/relationships/hyperlink" Target="https://www.youtube.com/watch?v=UhQMGASqScY" TargetMode="External"/><Relationship Id="rId5" Type="http://schemas.openxmlformats.org/officeDocument/2006/relationships/hyperlink" Target="https://www.icanw.org/signature_and_ratification_status" TargetMode="External"/><Relationship Id="rId6" Type="http://schemas.openxmlformats.org/officeDocument/2006/relationships/hyperlink" Target="https://cities.icanw.org/list_of_citie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LibreOffice/7.3.3.2$Linux_X86_64 LibreOffice_project/30$Build-2</Application>
  <AppVersion>15.0000</AppVersion>
  <Pages>5</Pages>
  <Words>1063</Words>
  <Characters>6147</Characters>
  <CharactersWithSpaces>7060</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2022-06-21T21:44:00Z</dcterms:created>
  <dc:creator>Marco Giorgino</dc:creator>
  <dc:description/>
  <dc:language>it-IT</dc:language>
  <cp:lastModifiedBy/>
  <dcterms:modified xsi:type="dcterms:W3CDTF">2022-06-22T09:09:32Z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